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8D17" w14:textId="77777777" w:rsidR="00730014" w:rsidRPr="001654D3" w:rsidRDefault="00730014" w:rsidP="00730014">
      <w:pPr>
        <w:spacing w:line="360" w:lineRule="auto"/>
        <w:jc w:val="center"/>
        <w:rPr>
          <w:rFonts w:ascii="Arial" w:hAnsi="Arial" w:cs="Arial"/>
          <w:b/>
          <w:sz w:val="22"/>
          <w:szCs w:val="22"/>
        </w:rPr>
      </w:pPr>
      <w:r w:rsidRPr="001654D3">
        <w:rPr>
          <w:rFonts w:ascii="Arial" w:hAnsi="Arial" w:cs="Arial"/>
          <w:noProof/>
          <w:sz w:val="22"/>
          <w:szCs w:val="22"/>
          <w:lang w:eastAsia="en-GB"/>
        </w:rPr>
        <w:drawing>
          <wp:inline distT="0" distB="0" distL="0" distR="0" wp14:anchorId="0C364178" wp14:editId="187A4255">
            <wp:extent cx="1114425"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p>
    <w:p w14:paraId="712E58AF" w14:textId="3247804D" w:rsidR="00730014" w:rsidRDefault="00730014" w:rsidP="00730014">
      <w:pPr>
        <w:jc w:val="center"/>
        <w:rPr>
          <w:rFonts w:ascii="Arial" w:hAnsi="Arial" w:cs="Arial"/>
          <w:b/>
          <w:bCs/>
          <w:sz w:val="22"/>
          <w:szCs w:val="22"/>
        </w:rPr>
      </w:pPr>
      <w:r w:rsidRPr="001654D3">
        <w:rPr>
          <w:rFonts w:ascii="Arial" w:hAnsi="Arial" w:cs="Arial"/>
          <w:b/>
          <w:sz w:val="22"/>
          <w:szCs w:val="22"/>
        </w:rPr>
        <w:t xml:space="preserve">INVITATION TO TENDER </w:t>
      </w:r>
      <w:r>
        <w:rPr>
          <w:rFonts w:ascii="Arial" w:hAnsi="Arial" w:cs="Arial"/>
          <w:b/>
          <w:bCs/>
          <w:sz w:val="22"/>
          <w:szCs w:val="22"/>
        </w:rPr>
        <w:t>–</w:t>
      </w:r>
      <w:r w:rsidRPr="001654D3">
        <w:rPr>
          <w:rFonts w:ascii="Arial" w:hAnsi="Arial" w:cs="Arial"/>
          <w:b/>
          <w:bCs/>
          <w:sz w:val="22"/>
          <w:szCs w:val="22"/>
        </w:rPr>
        <w:t xml:space="preserve"> </w:t>
      </w:r>
      <w:r>
        <w:rPr>
          <w:rFonts w:ascii="Arial" w:hAnsi="Arial" w:cs="Arial"/>
          <w:b/>
          <w:bCs/>
          <w:sz w:val="22"/>
          <w:szCs w:val="22"/>
        </w:rPr>
        <w:t>Trauma Education Facilitators</w:t>
      </w:r>
    </w:p>
    <w:p w14:paraId="1A0D2DA8" w14:textId="77777777" w:rsidR="00730014" w:rsidRPr="001654D3" w:rsidRDefault="00730014" w:rsidP="00730014">
      <w:pPr>
        <w:spacing w:line="360" w:lineRule="auto"/>
        <w:rPr>
          <w:rFonts w:ascii="Arial" w:hAnsi="Arial" w:cs="Arial"/>
          <w:b/>
          <w:sz w:val="22"/>
          <w:szCs w:val="22"/>
        </w:rPr>
      </w:pPr>
    </w:p>
    <w:p w14:paraId="069D5815" w14:textId="77777777" w:rsidR="00730014" w:rsidRPr="001654D3" w:rsidRDefault="00730014" w:rsidP="00730014">
      <w:pPr>
        <w:spacing w:line="276" w:lineRule="auto"/>
        <w:jc w:val="both"/>
        <w:rPr>
          <w:rFonts w:ascii="Arial" w:hAnsi="Arial" w:cs="Arial"/>
          <w:b/>
          <w:caps/>
          <w:sz w:val="22"/>
          <w:szCs w:val="22"/>
        </w:rPr>
      </w:pPr>
      <w:r w:rsidRPr="001654D3">
        <w:rPr>
          <w:rFonts w:ascii="Arial" w:hAnsi="Arial" w:cs="Arial"/>
          <w:b/>
          <w:caps/>
          <w:sz w:val="22"/>
          <w:szCs w:val="22"/>
        </w:rPr>
        <w:t>1.</w:t>
      </w:r>
      <w:r w:rsidRPr="001654D3">
        <w:rPr>
          <w:rFonts w:ascii="Arial" w:hAnsi="Arial" w:cs="Arial"/>
          <w:b/>
          <w:caps/>
          <w:sz w:val="22"/>
          <w:szCs w:val="22"/>
        </w:rPr>
        <w:tab/>
        <w:t>SPECIFICATION</w:t>
      </w:r>
    </w:p>
    <w:p w14:paraId="5D48CD22" w14:textId="77777777" w:rsidR="00730014" w:rsidRPr="001654D3" w:rsidRDefault="00730014" w:rsidP="00730014">
      <w:pPr>
        <w:pStyle w:val="ListParagraph"/>
        <w:spacing w:line="276" w:lineRule="auto"/>
        <w:ind w:left="900"/>
        <w:jc w:val="both"/>
        <w:rPr>
          <w:rFonts w:ascii="Arial" w:hAnsi="Arial" w:cs="Arial"/>
          <w:b/>
          <w:caps/>
          <w:sz w:val="22"/>
          <w:szCs w:val="22"/>
        </w:rPr>
      </w:pPr>
    </w:p>
    <w:p w14:paraId="1C3A7CEE" w14:textId="352E5E2C" w:rsidR="00730014" w:rsidRPr="00730014" w:rsidRDefault="00730014" w:rsidP="00730014">
      <w:pPr>
        <w:pStyle w:val="ListParagraph"/>
        <w:numPr>
          <w:ilvl w:val="1"/>
          <w:numId w:val="1"/>
        </w:numPr>
        <w:spacing w:line="276" w:lineRule="auto"/>
        <w:jc w:val="both"/>
        <w:rPr>
          <w:rFonts w:ascii="Arial" w:hAnsi="Arial" w:cs="Arial"/>
          <w:b/>
          <w:sz w:val="22"/>
          <w:szCs w:val="22"/>
        </w:rPr>
      </w:pPr>
      <w:r w:rsidRPr="001654D3">
        <w:rPr>
          <w:rFonts w:ascii="Arial" w:hAnsi="Arial" w:cs="Arial"/>
          <w:b/>
          <w:sz w:val="22"/>
          <w:szCs w:val="22"/>
        </w:rPr>
        <w:t>Introduction</w:t>
      </w:r>
    </w:p>
    <w:p w14:paraId="26848D5A" w14:textId="77777777" w:rsidR="00730014" w:rsidRPr="008626F3" w:rsidRDefault="00730014" w:rsidP="00730014">
      <w:pPr>
        <w:pStyle w:val="NormalWeb"/>
        <w:shd w:val="clear" w:color="auto" w:fill="FFFFFF"/>
        <w:spacing w:after="0" w:afterAutospacing="0"/>
        <w:jc w:val="both"/>
        <w:rPr>
          <w:rFonts w:ascii="Arial" w:hAnsi="Arial" w:cs="Arial"/>
          <w:b/>
          <w:sz w:val="22"/>
          <w:szCs w:val="22"/>
        </w:rPr>
      </w:pPr>
      <w:r w:rsidRPr="008626F3">
        <w:rPr>
          <w:rFonts w:ascii="Arial" w:hAnsi="Arial" w:cs="Arial"/>
          <w:b/>
          <w:sz w:val="22"/>
          <w:szCs w:val="22"/>
        </w:rPr>
        <w:t>Introduction</w:t>
      </w:r>
    </w:p>
    <w:p w14:paraId="462F8F62" w14:textId="77777777" w:rsidR="00730014" w:rsidRDefault="00730014" w:rsidP="00730014">
      <w:pPr>
        <w:pStyle w:val="NormalWeb"/>
        <w:shd w:val="clear" w:color="auto" w:fill="FFFFFF"/>
        <w:spacing w:after="0" w:afterAutospacing="0"/>
        <w:jc w:val="both"/>
        <w:rPr>
          <w:rFonts w:ascii="Arial" w:hAnsi="Arial" w:cs="Arial"/>
          <w:bCs/>
          <w:iCs/>
          <w:sz w:val="22"/>
          <w:szCs w:val="22"/>
        </w:rPr>
      </w:pPr>
      <w:r w:rsidRPr="008626F3">
        <w:rPr>
          <w:rFonts w:ascii="Arial" w:hAnsi="Arial" w:cs="Arial"/>
          <w:sz w:val="22"/>
          <w:szCs w:val="22"/>
        </w:rPr>
        <w:t xml:space="preserve">WAVE, established in 1991, is a voluntary, cross community charitable organisation which offers care and support to anyone bereaved, traumatised or injured as a result of the Troubles/Conflict. </w:t>
      </w:r>
      <w:r w:rsidRPr="008626F3">
        <w:rPr>
          <w:rFonts w:ascii="Arial" w:hAnsi="Arial" w:cs="Arial"/>
          <w:bCs/>
          <w:iCs/>
          <w:sz w:val="22"/>
          <w:szCs w:val="22"/>
        </w:rPr>
        <w:t>The philosophy and ethos of the organisation is one of inclusiveness</w:t>
      </w:r>
      <w:r>
        <w:rPr>
          <w:rFonts w:ascii="Arial" w:hAnsi="Arial" w:cs="Arial"/>
          <w:bCs/>
          <w:iCs/>
          <w:sz w:val="22"/>
          <w:szCs w:val="22"/>
        </w:rPr>
        <w:t xml:space="preserve">, providing care for anyone irrespective of religion, cultural or political belief.  WAVE promotes a respect for life and an understanding of difference that is seen an enhancing rather than threatening.  </w:t>
      </w:r>
    </w:p>
    <w:p w14:paraId="299C8CB4" w14:textId="77777777" w:rsidR="00730014" w:rsidRDefault="00730014" w:rsidP="00730014">
      <w:pPr>
        <w:pStyle w:val="NormalWeb"/>
        <w:shd w:val="clear" w:color="auto" w:fill="FFFFFF"/>
        <w:spacing w:after="0" w:afterAutospacing="0"/>
        <w:jc w:val="both"/>
        <w:rPr>
          <w:rFonts w:ascii="Arial" w:hAnsi="Arial" w:cs="Arial"/>
          <w:sz w:val="22"/>
          <w:szCs w:val="22"/>
          <w:lang w:val="en"/>
        </w:rPr>
      </w:pPr>
      <w:r w:rsidRPr="00DC02F8">
        <w:rPr>
          <w:rFonts w:ascii="Arial" w:hAnsi="Arial" w:cs="Arial"/>
          <w:sz w:val="22"/>
          <w:szCs w:val="22"/>
          <w:lang w:val="en"/>
        </w:rPr>
        <w:t xml:space="preserve">WAVE has an extensive network of delivery processes across Northern Ireland. The organisation operates from </w:t>
      </w:r>
      <w:r>
        <w:rPr>
          <w:rFonts w:ascii="Arial" w:hAnsi="Arial" w:cs="Arial"/>
          <w:sz w:val="22"/>
          <w:szCs w:val="22"/>
          <w:lang w:val="en"/>
        </w:rPr>
        <w:t>six</w:t>
      </w:r>
      <w:r w:rsidRPr="00DC02F8">
        <w:rPr>
          <w:rFonts w:ascii="Arial" w:hAnsi="Arial" w:cs="Arial"/>
          <w:sz w:val="22"/>
          <w:szCs w:val="22"/>
          <w:lang w:val="en"/>
        </w:rPr>
        <w:t xml:space="preserve"> Outreach Centres in: Belfast, Armagh, Omagh, Ballymoney</w:t>
      </w:r>
      <w:r>
        <w:rPr>
          <w:rFonts w:ascii="Arial" w:hAnsi="Arial" w:cs="Arial"/>
          <w:sz w:val="22"/>
          <w:szCs w:val="22"/>
          <w:lang w:val="en"/>
        </w:rPr>
        <w:t xml:space="preserve">, </w:t>
      </w:r>
      <w:r w:rsidRPr="00DC02F8">
        <w:rPr>
          <w:rFonts w:ascii="Arial" w:hAnsi="Arial" w:cs="Arial"/>
          <w:sz w:val="22"/>
          <w:szCs w:val="22"/>
          <w:lang w:val="en"/>
        </w:rPr>
        <w:t xml:space="preserve">Derry Londonderry </w:t>
      </w:r>
      <w:r>
        <w:rPr>
          <w:rFonts w:ascii="Arial" w:hAnsi="Arial" w:cs="Arial"/>
          <w:sz w:val="22"/>
          <w:szCs w:val="22"/>
          <w:lang w:val="en"/>
        </w:rPr>
        <w:t xml:space="preserve">and Killough </w:t>
      </w:r>
      <w:r w:rsidRPr="00DC02F8">
        <w:rPr>
          <w:rFonts w:ascii="Arial" w:hAnsi="Arial" w:cs="Arial"/>
          <w:sz w:val="22"/>
          <w:szCs w:val="22"/>
          <w:lang w:val="en"/>
        </w:rPr>
        <w:t>and services such as Outreach Casework, Health and Wellbeing, Psychotherapy/Counselling, Advice/Welfare, Personal Development</w:t>
      </w:r>
      <w:r>
        <w:rPr>
          <w:rFonts w:ascii="Arial" w:hAnsi="Arial" w:cs="Arial"/>
          <w:sz w:val="22"/>
          <w:szCs w:val="22"/>
          <w:lang w:val="en"/>
        </w:rPr>
        <w:t xml:space="preserve">, </w:t>
      </w:r>
      <w:r w:rsidRPr="00DC02F8">
        <w:rPr>
          <w:rFonts w:ascii="Arial" w:hAnsi="Arial" w:cs="Arial"/>
          <w:sz w:val="22"/>
          <w:szCs w:val="22"/>
          <w:lang w:val="en"/>
        </w:rPr>
        <w:t>Complementary Therap</w:t>
      </w:r>
      <w:r>
        <w:rPr>
          <w:rFonts w:ascii="Arial" w:hAnsi="Arial" w:cs="Arial"/>
          <w:sz w:val="22"/>
          <w:szCs w:val="22"/>
          <w:lang w:val="en"/>
        </w:rPr>
        <w:t xml:space="preserve">y and </w:t>
      </w:r>
      <w:r w:rsidRPr="00B6000B">
        <w:rPr>
          <w:rFonts w:ascii="Arial" w:hAnsi="Arial" w:cs="Arial"/>
          <w:b/>
          <w:bCs/>
          <w:sz w:val="22"/>
          <w:szCs w:val="22"/>
          <w:lang w:val="en"/>
        </w:rPr>
        <w:t>Trauma Education</w:t>
      </w:r>
      <w:r w:rsidRPr="00DC02F8">
        <w:rPr>
          <w:rFonts w:ascii="Arial" w:hAnsi="Arial" w:cs="Arial"/>
          <w:sz w:val="22"/>
          <w:szCs w:val="22"/>
          <w:lang w:val="en"/>
        </w:rPr>
        <w:t xml:space="preserve"> are available from all its Centre’s</w:t>
      </w:r>
      <w:r>
        <w:rPr>
          <w:rFonts w:ascii="Arial" w:hAnsi="Arial" w:cs="Arial"/>
          <w:sz w:val="22"/>
          <w:szCs w:val="22"/>
          <w:lang w:val="en"/>
        </w:rPr>
        <w:t>.</w:t>
      </w:r>
      <w:r w:rsidRPr="00DC02F8">
        <w:rPr>
          <w:rFonts w:ascii="Arial" w:hAnsi="Arial" w:cs="Arial"/>
          <w:sz w:val="22"/>
          <w:szCs w:val="22"/>
          <w:lang w:val="en"/>
        </w:rPr>
        <w:t xml:space="preserve"> </w:t>
      </w:r>
    </w:p>
    <w:p w14:paraId="75CE90A8" w14:textId="77777777" w:rsidR="00730014" w:rsidRDefault="00730014" w:rsidP="00730014">
      <w:pPr>
        <w:pStyle w:val="NormalWeb"/>
        <w:shd w:val="clear" w:color="auto" w:fill="FFFFFF"/>
        <w:spacing w:before="0" w:beforeAutospacing="0" w:after="0" w:afterAutospacing="0"/>
        <w:jc w:val="both"/>
        <w:rPr>
          <w:rFonts w:ascii="Arial" w:hAnsi="Arial" w:cs="Arial"/>
          <w:spacing w:val="3"/>
          <w:sz w:val="22"/>
          <w:szCs w:val="22"/>
        </w:rPr>
      </w:pPr>
    </w:p>
    <w:p w14:paraId="109070E0" w14:textId="79BFFF4A" w:rsidR="00730014" w:rsidRDefault="00730014" w:rsidP="00730014">
      <w:pPr>
        <w:pStyle w:val="NormalWeb"/>
        <w:shd w:val="clear" w:color="auto" w:fill="FFFFFF"/>
        <w:spacing w:before="0" w:beforeAutospacing="0" w:after="0" w:afterAutospacing="0"/>
        <w:jc w:val="both"/>
        <w:rPr>
          <w:rFonts w:ascii="Arial" w:hAnsi="Arial" w:cs="Arial"/>
          <w:spacing w:val="3"/>
          <w:sz w:val="22"/>
          <w:szCs w:val="22"/>
        </w:rPr>
      </w:pPr>
      <w:r w:rsidRPr="008626F3">
        <w:rPr>
          <w:rFonts w:ascii="Arial" w:hAnsi="Arial" w:cs="Arial"/>
          <w:spacing w:val="3"/>
          <w:sz w:val="22"/>
          <w:szCs w:val="22"/>
        </w:rPr>
        <w:t xml:space="preserve">Our </w:t>
      </w:r>
      <w:r w:rsidRPr="00B6000B">
        <w:rPr>
          <w:rFonts w:ascii="Arial" w:hAnsi="Arial" w:cs="Arial"/>
          <w:b/>
          <w:bCs/>
          <w:spacing w:val="3"/>
          <w:sz w:val="22"/>
          <w:szCs w:val="22"/>
        </w:rPr>
        <w:t>Trauma Education</w:t>
      </w:r>
      <w:r w:rsidRPr="008626F3">
        <w:rPr>
          <w:rFonts w:ascii="Arial" w:hAnsi="Arial" w:cs="Arial"/>
          <w:spacing w:val="3"/>
          <w:sz w:val="22"/>
          <w:szCs w:val="22"/>
        </w:rPr>
        <w:t xml:space="preserve"> </w:t>
      </w:r>
      <w:r>
        <w:rPr>
          <w:rFonts w:ascii="Arial" w:hAnsi="Arial" w:cs="Arial"/>
          <w:spacing w:val="3"/>
          <w:sz w:val="22"/>
          <w:szCs w:val="22"/>
        </w:rPr>
        <w:t xml:space="preserve">team </w:t>
      </w:r>
      <w:r w:rsidRPr="008626F3">
        <w:rPr>
          <w:rFonts w:ascii="Arial" w:hAnsi="Arial" w:cs="Arial"/>
          <w:spacing w:val="3"/>
          <w:sz w:val="22"/>
          <w:szCs w:val="22"/>
        </w:rPr>
        <w:t xml:space="preserve">have developed a variety of accredited training courses in the field of trauma. Much of the training has been influenced by over </w:t>
      </w:r>
      <w:r w:rsidR="002C44BE">
        <w:rPr>
          <w:rFonts w:ascii="Arial" w:hAnsi="Arial" w:cs="Arial"/>
          <w:spacing w:val="3"/>
          <w:sz w:val="22"/>
          <w:szCs w:val="22"/>
        </w:rPr>
        <w:t>30 yea</w:t>
      </w:r>
      <w:r w:rsidRPr="008626F3">
        <w:rPr>
          <w:rFonts w:ascii="Arial" w:hAnsi="Arial" w:cs="Arial"/>
          <w:spacing w:val="3"/>
          <w:sz w:val="22"/>
          <w:szCs w:val="22"/>
        </w:rPr>
        <w:t xml:space="preserve">rs of service to those who have been bereaved, traumatised and/or injured through </w:t>
      </w:r>
      <w:r>
        <w:rPr>
          <w:rFonts w:ascii="Arial" w:hAnsi="Arial" w:cs="Arial"/>
          <w:spacing w:val="3"/>
          <w:sz w:val="22"/>
          <w:szCs w:val="22"/>
        </w:rPr>
        <w:t>‘</w:t>
      </w:r>
      <w:r w:rsidRPr="008626F3">
        <w:rPr>
          <w:rFonts w:ascii="Arial" w:hAnsi="Arial" w:cs="Arial"/>
          <w:spacing w:val="3"/>
          <w:sz w:val="22"/>
          <w:szCs w:val="22"/>
        </w:rPr>
        <w:t>The Troubles</w:t>
      </w:r>
      <w:r>
        <w:rPr>
          <w:rFonts w:ascii="Arial" w:hAnsi="Arial" w:cs="Arial"/>
          <w:spacing w:val="3"/>
          <w:sz w:val="22"/>
          <w:szCs w:val="22"/>
        </w:rPr>
        <w:t>’</w:t>
      </w:r>
      <w:r w:rsidRPr="008626F3">
        <w:rPr>
          <w:rFonts w:ascii="Arial" w:hAnsi="Arial" w:cs="Arial"/>
          <w:spacing w:val="3"/>
          <w:sz w:val="22"/>
          <w:szCs w:val="22"/>
        </w:rPr>
        <w:t xml:space="preserve"> in Northern Ireland and along the border counties.  Whilst courses are made available to all on a ‘first come first serve’ basis, essentially, they have greater appeal to first responders working in the community and to agencies impacted by the legacy of conflict in Northern Ireland and beyond. In more recent years the range of courses on offer has been widened to include, ‘Transgenerational Trauma’, ‘Grief &amp; Complicated Grief’ and Trauma &amp; the Family’.  These courses are all accredited by Open learning, Queens’ University, Belfast. WAVE Trauma Education have created a learning pathway that is unique on the island of Ireland.</w:t>
      </w:r>
    </w:p>
    <w:p w14:paraId="1046EDF6" w14:textId="77777777" w:rsidR="00730014" w:rsidRDefault="00730014" w:rsidP="00730014">
      <w:pPr>
        <w:pStyle w:val="NormalWeb"/>
        <w:shd w:val="clear" w:color="auto" w:fill="FFFFFF"/>
        <w:spacing w:before="0" w:beforeAutospacing="0" w:after="0" w:afterAutospacing="0"/>
        <w:jc w:val="both"/>
        <w:rPr>
          <w:rFonts w:ascii="Arial" w:hAnsi="Arial" w:cs="Arial"/>
          <w:spacing w:val="3"/>
          <w:sz w:val="22"/>
          <w:szCs w:val="22"/>
        </w:rPr>
      </w:pPr>
    </w:p>
    <w:p w14:paraId="0C23ACC5" w14:textId="77777777" w:rsidR="00730014" w:rsidRPr="008626F3" w:rsidRDefault="00730014" w:rsidP="00730014">
      <w:pPr>
        <w:pStyle w:val="NormalWeb"/>
        <w:shd w:val="clear" w:color="auto" w:fill="FFFFFF"/>
        <w:spacing w:before="0" w:beforeAutospacing="0" w:after="0" w:afterAutospacing="0"/>
        <w:jc w:val="both"/>
        <w:rPr>
          <w:rFonts w:ascii="Arial" w:hAnsi="Arial" w:cs="Arial"/>
          <w:spacing w:val="3"/>
          <w:sz w:val="22"/>
          <w:szCs w:val="22"/>
        </w:rPr>
      </w:pPr>
      <w:r w:rsidRPr="008626F3">
        <w:rPr>
          <w:rFonts w:ascii="Arial" w:hAnsi="Arial" w:cs="Arial"/>
          <w:spacing w:val="3"/>
          <w:sz w:val="22"/>
          <w:szCs w:val="22"/>
        </w:rPr>
        <w:t>In addition</w:t>
      </w:r>
      <w:r>
        <w:rPr>
          <w:rFonts w:ascii="Arial" w:hAnsi="Arial" w:cs="Arial"/>
          <w:spacing w:val="3"/>
          <w:sz w:val="22"/>
          <w:szCs w:val="22"/>
        </w:rPr>
        <w:t>,</w:t>
      </w:r>
      <w:r w:rsidRPr="008626F3">
        <w:rPr>
          <w:rFonts w:ascii="Arial" w:hAnsi="Arial" w:cs="Arial"/>
          <w:spacing w:val="3"/>
          <w:sz w:val="22"/>
          <w:szCs w:val="22"/>
        </w:rPr>
        <w:t xml:space="preserve"> we offer a BSc Hons in Psychological Trauma Studies, in partnership with the School of Nursing &amp; Midwifery, Queen’s University Belfast gives individuals the opportunity to gain a Degree qualification in Psychological Trauma Studies. This four-year part-time programme seeks to deepen and widen the appreciation of the effects of psychological trauma. A more in-depth programme is the Masters in Trauma Studies delivered in partnership with University College, Cork. This online programme was developed to provide academically grounded but professionally informed education to relevant stakeholders.</w:t>
      </w:r>
    </w:p>
    <w:p w14:paraId="4FA7B019" w14:textId="77777777" w:rsidR="00730014" w:rsidRDefault="00730014" w:rsidP="00730014">
      <w:pPr>
        <w:pStyle w:val="NormalWeb"/>
        <w:shd w:val="clear" w:color="auto" w:fill="FFFFFF"/>
        <w:spacing w:before="0" w:beforeAutospacing="0" w:after="0" w:afterAutospacing="0"/>
        <w:jc w:val="both"/>
        <w:rPr>
          <w:rFonts w:ascii="Arial" w:hAnsi="Arial" w:cs="Arial"/>
          <w:spacing w:val="3"/>
          <w:sz w:val="22"/>
          <w:szCs w:val="22"/>
        </w:rPr>
      </w:pPr>
    </w:p>
    <w:p w14:paraId="0D3884BB" w14:textId="4EDF8012" w:rsidR="00730014" w:rsidRPr="008626F3" w:rsidRDefault="00730014" w:rsidP="00730014">
      <w:pPr>
        <w:pStyle w:val="NormalWeb"/>
        <w:shd w:val="clear" w:color="auto" w:fill="FFFFFF"/>
        <w:spacing w:before="0" w:beforeAutospacing="0" w:after="0" w:afterAutospacing="0"/>
        <w:jc w:val="both"/>
        <w:rPr>
          <w:rFonts w:ascii="Arial" w:hAnsi="Arial" w:cs="Arial"/>
          <w:spacing w:val="3"/>
          <w:sz w:val="22"/>
          <w:szCs w:val="22"/>
        </w:rPr>
      </w:pPr>
      <w:r w:rsidRPr="008626F3">
        <w:rPr>
          <w:rFonts w:ascii="Arial" w:hAnsi="Arial" w:cs="Arial"/>
          <w:spacing w:val="3"/>
          <w:sz w:val="22"/>
          <w:szCs w:val="22"/>
        </w:rPr>
        <w:t xml:space="preserve">We also offer Health and Wellbeing Engagement Specialist training in partnership with WAVE Citizen </w:t>
      </w:r>
      <w:r>
        <w:rPr>
          <w:rFonts w:ascii="Arial" w:hAnsi="Arial" w:cs="Arial"/>
          <w:spacing w:val="3"/>
          <w:sz w:val="22"/>
          <w:szCs w:val="22"/>
        </w:rPr>
        <w:t xml:space="preserve">Educators, who are </w:t>
      </w:r>
      <w:r w:rsidRPr="008626F3">
        <w:rPr>
          <w:rFonts w:ascii="Arial" w:hAnsi="Arial" w:cs="Arial"/>
          <w:spacing w:val="3"/>
          <w:sz w:val="22"/>
          <w:szCs w:val="22"/>
        </w:rPr>
        <w:t xml:space="preserve">victims and survivors </w:t>
      </w:r>
      <w:r>
        <w:rPr>
          <w:rFonts w:ascii="Arial" w:hAnsi="Arial" w:cs="Arial"/>
          <w:spacing w:val="3"/>
          <w:sz w:val="22"/>
          <w:szCs w:val="22"/>
        </w:rPr>
        <w:t>that deliver</w:t>
      </w:r>
      <w:r w:rsidRPr="008626F3">
        <w:rPr>
          <w:rFonts w:ascii="Arial" w:hAnsi="Arial" w:cs="Arial"/>
          <w:spacing w:val="3"/>
          <w:sz w:val="22"/>
          <w:szCs w:val="22"/>
        </w:rPr>
        <w:t xml:space="preserve"> tutorials to help students better understand the long</w:t>
      </w:r>
      <w:r>
        <w:rPr>
          <w:rFonts w:ascii="Arial" w:hAnsi="Arial" w:cs="Arial"/>
          <w:spacing w:val="3"/>
          <w:sz w:val="22"/>
          <w:szCs w:val="22"/>
        </w:rPr>
        <w:t xml:space="preserve"> </w:t>
      </w:r>
      <w:r w:rsidRPr="008626F3">
        <w:rPr>
          <w:rFonts w:ascii="Arial" w:hAnsi="Arial" w:cs="Arial"/>
          <w:spacing w:val="3"/>
          <w:sz w:val="22"/>
          <w:szCs w:val="22"/>
        </w:rPr>
        <w:t xml:space="preserve">term effects of </w:t>
      </w:r>
      <w:r>
        <w:rPr>
          <w:rFonts w:ascii="Arial" w:hAnsi="Arial" w:cs="Arial"/>
          <w:spacing w:val="3"/>
          <w:sz w:val="22"/>
          <w:szCs w:val="22"/>
        </w:rPr>
        <w:t>‘</w:t>
      </w:r>
      <w:r w:rsidRPr="008626F3">
        <w:rPr>
          <w:rFonts w:ascii="Arial" w:hAnsi="Arial" w:cs="Arial"/>
          <w:spacing w:val="3"/>
          <w:sz w:val="22"/>
          <w:szCs w:val="22"/>
        </w:rPr>
        <w:t>The Troubles</w:t>
      </w:r>
      <w:r>
        <w:rPr>
          <w:rFonts w:ascii="Arial" w:hAnsi="Arial" w:cs="Arial"/>
          <w:spacing w:val="3"/>
          <w:sz w:val="22"/>
          <w:szCs w:val="22"/>
        </w:rPr>
        <w:t>’</w:t>
      </w:r>
      <w:r w:rsidRPr="008626F3">
        <w:rPr>
          <w:rFonts w:ascii="Arial" w:hAnsi="Arial" w:cs="Arial"/>
          <w:spacing w:val="3"/>
          <w:sz w:val="22"/>
          <w:szCs w:val="22"/>
        </w:rPr>
        <w:t xml:space="preserve"> on individuals, families and communities. Understanding the context of what happened to people should lead to more effective care delivery to those most affected by/damaged by </w:t>
      </w:r>
      <w:r>
        <w:rPr>
          <w:rFonts w:ascii="Arial" w:hAnsi="Arial" w:cs="Arial"/>
          <w:spacing w:val="3"/>
          <w:sz w:val="22"/>
          <w:szCs w:val="22"/>
        </w:rPr>
        <w:t>‘</w:t>
      </w:r>
      <w:r w:rsidRPr="008626F3">
        <w:rPr>
          <w:rFonts w:ascii="Arial" w:hAnsi="Arial" w:cs="Arial"/>
          <w:spacing w:val="3"/>
          <w:sz w:val="22"/>
          <w:szCs w:val="22"/>
        </w:rPr>
        <w:t>The Troubles</w:t>
      </w:r>
      <w:r>
        <w:rPr>
          <w:rFonts w:ascii="Arial" w:hAnsi="Arial" w:cs="Arial"/>
          <w:spacing w:val="3"/>
          <w:sz w:val="22"/>
          <w:szCs w:val="22"/>
        </w:rPr>
        <w:t>’</w:t>
      </w:r>
      <w:r w:rsidRPr="008626F3">
        <w:rPr>
          <w:rFonts w:ascii="Arial" w:hAnsi="Arial" w:cs="Arial"/>
          <w:spacing w:val="3"/>
          <w:sz w:val="22"/>
          <w:szCs w:val="22"/>
        </w:rPr>
        <w:t>.</w:t>
      </w:r>
    </w:p>
    <w:p w14:paraId="4C48AF82" w14:textId="77777777" w:rsidR="00730014" w:rsidRPr="008F15C7" w:rsidRDefault="00730014" w:rsidP="00730014">
      <w:pPr>
        <w:pStyle w:val="NormalWeb"/>
        <w:shd w:val="clear" w:color="auto" w:fill="FFFFFF"/>
        <w:spacing w:before="0" w:beforeAutospacing="0" w:after="0" w:afterAutospacing="0"/>
        <w:rPr>
          <w:rFonts w:ascii="Arial" w:hAnsi="Arial" w:cs="Arial"/>
          <w:spacing w:val="3"/>
          <w:sz w:val="22"/>
          <w:szCs w:val="22"/>
        </w:rPr>
      </w:pPr>
      <w:r w:rsidRPr="008626F3">
        <w:rPr>
          <w:rFonts w:ascii="Arial" w:hAnsi="Arial" w:cs="Arial"/>
          <w:spacing w:val="3"/>
          <w:sz w:val="22"/>
          <w:szCs w:val="22"/>
        </w:rPr>
        <w:lastRenderedPageBreak/>
        <w:t xml:space="preserve">And finally, workshops </w:t>
      </w:r>
      <w:r>
        <w:rPr>
          <w:rFonts w:ascii="Arial" w:hAnsi="Arial" w:cs="Arial"/>
          <w:spacing w:val="3"/>
          <w:sz w:val="22"/>
          <w:szCs w:val="22"/>
        </w:rPr>
        <w:t xml:space="preserve">which </w:t>
      </w:r>
      <w:r w:rsidRPr="008626F3">
        <w:rPr>
          <w:rFonts w:ascii="Arial" w:hAnsi="Arial" w:cs="Arial"/>
          <w:spacing w:val="3"/>
          <w:sz w:val="22"/>
          <w:szCs w:val="22"/>
        </w:rPr>
        <w:t>are designed to meet the needs of those who want to learn more about trauma and the impact of violent conflict.</w:t>
      </w:r>
    </w:p>
    <w:p w14:paraId="5ED8E536" w14:textId="77777777" w:rsidR="00730014" w:rsidRPr="001654D3" w:rsidRDefault="00730014" w:rsidP="00730014">
      <w:pPr>
        <w:spacing w:line="276" w:lineRule="auto"/>
        <w:jc w:val="both"/>
        <w:rPr>
          <w:rFonts w:ascii="Arial" w:hAnsi="Arial" w:cs="Arial"/>
          <w:i/>
          <w:sz w:val="22"/>
          <w:szCs w:val="22"/>
        </w:rPr>
      </w:pPr>
    </w:p>
    <w:p w14:paraId="41DE2CAF" w14:textId="77777777" w:rsidR="00730014" w:rsidRDefault="00730014" w:rsidP="00730014">
      <w:pPr>
        <w:spacing w:line="276" w:lineRule="auto"/>
        <w:jc w:val="both"/>
        <w:rPr>
          <w:rFonts w:ascii="Arial" w:hAnsi="Arial" w:cs="Arial"/>
          <w:b/>
          <w:sz w:val="22"/>
          <w:szCs w:val="22"/>
        </w:rPr>
      </w:pPr>
      <w:r>
        <w:rPr>
          <w:rFonts w:ascii="Arial" w:hAnsi="Arial" w:cs="Arial"/>
          <w:b/>
          <w:sz w:val="22"/>
          <w:szCs w:val="22"/>
        </w:rPr>
        <w:t xml:space="preserve">2. </w:t>
      </w:r>
      <w:r w:rsidRPr="002D5F45">
        <w:rPr>
          <w:rFonts w:ascii="Arial" w:hAnsi="Arial" w:cs="Arial"/>
          <w:b/>
          <w:sz w:val="22"/>
          <w:szCs w:val="22"/>
        </w:rPr>
        <w:t>SCOPE OF THE CONTRACT</w:t>
      </w:r>
    </w:p>
    <w:p w14:paraId="19C7D525" w14:textId="77777777" w:rsidR="00730014" w:rsidRDefault="00730014" w:rsidP="00730014">
      <w:pPr>
        <w:spacing w:line="276" w:lineRule="auto"/>
        <w:jc w:val="both"/>
        <w:rPr>
          <w:rFonts w:ascii="Arial" w:hAnsi="Arial" w:cs="Arial"/>
          <w:sz w:val="22"/>
          <w:szCs w:val="22"/>
          <w:u w:val="single"/>
        </w:rPr>
      </w:pPr>
    </w:p>
    <w:p w14:paraId="26E72399" w14:textId="0C600F71" w:rsidR="00730014" w:rsidRPr="00730014" w:rsidRDefault="00730014" w:rsidP="00730014">
      <w:pPr>
        <w:jc w:val="both"/>
        <w:rPr>
          <w:rFonts w:ascii="Arial" w:hAnsi="Arial" w:cs="Arial"/>
          <w:spacing w:val="3"/>
          <w:sz w:val="22"/>
          <w:szCs w:val="22"/>
        </w:rPr>
      </w:pPr>
      <w:r w:rsidRPr="00730014">
        <w:rPr>
          <w:rFonts w:ascii="Arial" w:hAnsi="Arial" w:cs="Arial"/>
          <w:sz w:val="22"/>
          <w:szCs w:val="22"/>
        </w:rPr>
        <w:t xml:space="preserve">The requirement is to deliver high quality trauma informed educational training </w:t>
      </w:r>
      <w:r>
        <w:rPr>
          <w:rFonts w:ascii="Arial" w:hAnsi="Arial" w:cs="Arial"/>
          <w:sz w:val="22"/>
          <w:szCs w:val="22"/>
        </w:rPr>
        <w:t xml:space="preserve">through our </w:t>
      </w:r>
      <w:r w:rsidRPr="00730014">
        <w:rPr>
          <w:rFonts w:ascii="Arial" w:hAnsi="Arial" w:cs="Arial"/>
          <w:spacing w:val="3"/>
          <w:sz w:val="22"/>
          <w:szCs w:val="22"/>
        </w:rPr>
        <w:t xml:space="preserve">community based courses and workshops and </w:t>
      </w:r>
      <w:r>
        <w:rPr>
          <w:rFonts w:ascii="Arial" w:hAnsi="Arial" w:cs="Arial"/>
          <w:spacing w:val="3"/>
          <w:sz w:val="22"/>
          <w:szCs w:val="22"/>
        </w:rPr>
        <w:t xml:space="preserve">our </w:t>
      </w:r>
      <w:r w:rsidRPr="00730014">
        <w:rPr>
          <w:rFonts w:ascii="Arial" w:hAnsi="Arial" w:cs="Arial"/>
          <w:sz w:val="22"/>
          <w:szCs w:val="22"/>
        </w:rPr>
        <w:t xml:space="preserve">accredited </w:t>
      </w:r>
      <w:r>
        <w:rPr>
          <w:rFonts w:ascii="Arial" w:hAnsi="Arial" w:cs="Arial"/>
          <w:sz w:val="22"/>
          <w:szCs w:val="22"/>
        </w:rPr>
        <w:t xml:space="preserve">courses </w:t>
      </w:r>
      <w:r w:rsidRPr="00730014">
        <w:rPr>
          <w:rFonts w:ascii="Arial" w:hAnsi="Arial" w:cs="Arial"/>
          <w:sz w:val="22"/>
          <w:szCs w:val="22"/>
        </w:rPr>
        <w:t>by Open Learning, Queen’s University, Belfast</w:t>
      </w:r>
      <w:r w:rsidRPr="000F70CE">
        <w:rPr>
          <w:rFonts w:ascii="Arial" w:hAnsi="Arial" w:cs="Arial"/>
          <w:sz w:val="22"/>
          <w:szCs w:val="22"/>
        </w:rPr>
        <w:t>.</w:t>
      </w:r>
    </w:p>
    <w:p w14:paraId="57EBDE9E" w14:textId="77777777" w:rsidR="00730014" w:rsidRDefault="00730014" w:rsidP="00730014">
      <w:pPr>
        <w:spacing w:line="276" w:lineRule="auto"/>
        <w:jc w:val="both"/>
        <w:rPr>
          <w:rFonts w:ascii="Arial" w:hAnsi="Arial" w:cs="Arial"/>
          <w:sz w:val="22"/>
          <w:szCs w:val="22"/>
        </w:rPr>
      </w:pPr>
    </w:p>
    <w:p w14:paraId="0EC830FD" w14:textId="5C54A2E0" w:rsidR="00730014" w:rsidRDefault="00730014" w:rsidP="00730014">
      <w:pPr>
        <w:spacing w:line="276" w:lineRule="auto"/>
        <w:jc w:val="both"/>
        <w:rPr>
          <w:rFonts w:ascii="Arial" w:hAnsi="Arial" w:cs="Arial"/>
          <w:sz w:val="22"/>
          <w:szCs w:val="22"/>
        </w:rPr>
      </w:pPr>
      <w:r>
        <w:rPr>
          <w:rFonts w:ascii="Arial" w:hAnsi="Arial" w:cs="Arial"/>
          <w:sz w:val="22"/>
          <w:szCs w:val="22"/>
        </w:rPr>
        <w:t xml:space="preserve">WAVE </w:t>
      </w:r>
      <w:r w:rsidR="009D1FE5">
        <w:rPr>
          <w:rFonts w:ascii="Arial" w:hAnsi="Arial" w:cs="Arial"/>
          <w:sz w:val="22"/>
          <w:szCs w:val="22"/>
        </w:rPr>
        <w:t>r</w:t>
      </w:r>
      <w:r>
        <w:rPr>
          <w:rFonts w:ascii="Arial" w:hAnsi="Arial" w:cs="Arial"/>
          <w:sz w:val="22"/>
          <w:szCs w:val="22"/>
        </w:rPr>
        <w:t>equires the services of suitably qualified trauma-informed facilitators to provide</w:t>
      </w:r>
      <w:r w:rsidR="00D33C25">
        <w:rPr>
          <w:rFonts w:ascii="Arial" w:hAnsi="Arial" w:cs="Arial"/>
          <w:sz w:val="22"/>
          <w:szCs w:val="22"/>
        </w:rPr>
        <w:t xml:space="preserve"> our</w:t>
      </w:r>
      <w:r>
        <w:rPr>
          <w:rFonts w:ascii="Arial" w:hAnsi="Arial" w:cs="Arial"/>
          <w:sz w:val="22"/>
          <w:szCs w:val="22"/>
        </w:rPr>
        <w:t>:-</w:t>
      </w:r>
    </w:p>
    <w:p w14:paraId="23BD74F6" w14:textId="77777777" w:rsidR="00730014" w:rsidRDefault="00730014" w:rsidP="00730014">
      <w:pPr>
        <w:spacing w:line="276" w:lineRule="auto"/>
        <w:jc w:val="both"/>
        <w:rPr>
          <w:rFonts w:ascii="Arial" w:hAnsi="Arial" w:cs="Arial"/>
          <w:sz w:val="22"/>
          <w:szCs w:val="22"/>
        </w:rPr>
      </w:pPr>
    </w:p>
    <w:p w14:paraId="35A9C94D" w14:textId="4AE3095A" w:rsidR="00730014" w:rsidRPr="006404B6" w:rsidRDefault="00D33C25" w:rsidP="00564C06">
      <w:pPr>
        <w:pStyle w:val="ListParagraph"/>
        <w:numPr>
          <w:ilvl w:val="0"/>
          <w:numId w:val="8"/>
        </w:numPr>
        <w:spacing w:line="276" w:lineRule="auto"/>
        <w:jc w:val="both"/>
        <w:rPr>
          <w:rFonts w:ascii="Arial" w:hAnsi="Arial" w:cs="Arial"/>
          <w:sz w:val="22"/>
          <w:szCs w:val="22"/>
        </w:rPr>
      </w:pPr>
      <w:r w:rsidRPr="00564C06">
        <w:rPr>
          <w:rFonts w:ascii="Arial" w:hAnsi="Arial" w:cs="Arial"/>
          <w:sz w:val="22"/>
          <w:szCs w:val="22"/>
        </w:rPr>
        <w:t>C</w:t>
      </w:r>
      <w:r w:rsidR="00522FFE" w:rsidRPr="00564C06">
        <w:rPr>
          <w:rFonts w:ascii="Arial" w:hAnsi="Arial" w:cs="Arial"/>
          <w:spacing w:val="3"/>
          <w:sz w:val="22"/>
          <w:szCs w:val="22"/>
        </w:rPr>
        <w:t>ommunity based courses and workshops</w:t>
      </w:r>
      <w:r w:rsidR="000F70CE">
        <w:rPr>
          <w:rFonts w:ascii="Arial" w:hAnsi="Arial" w:cs="Arial"/>
          <w:spacing w:val="3"/>
          <w:sz w:val="22"/>
          <w:szCs w:val="22"/>
        </w:rPr>
        <w:t xml:space="preserve"> </w:t>
      </w:r>
      <w:r w:rsidR="0078004A" w:rsidRPr="006404B6">
        <w:rPr>
          <w:rFonts w:ascii="Arial" w:hAnsi="Arial" w:cs="Arial"/>
          <w:spacing w:val="3"/>
          <w:sz w:val="22"/>
          <w:szCs w:val="22"/>
        </w:rPr>
        <w:t>daytime</w:t>
      </w:r>
      <w:r w:rsidR="006404B6" w:rsidRPr="006404B6">
        <w:rPr>
          <w:rFonts w:ascii="Arial" w:hAnsi="Arial" w:cs="Arial"/>
          <w:spacing w:val="3"/>
          <w:sz w:val="22"/>
          <w:szCs w:val="22"/>
        </w:rPr>
        <w:t xml:space="preserve">, </w:t>
      </w:r>
      <w:r w:rsidRPr="006404B6">
        <w:rPr>
          <w:rFonts w:ascii="Arial" w:hAnsi="Arial" w:cs="Arial"/>
          <w:spacing w:val="3"/>
          <w:sz w:val="22"/>
          <w:szCs w:val="22"/>
        </w:rPr>
        <w:t xml:space="preserve">evenings </w:t>
      </w:r>
      <w:r w:rsidR="006404B6" w:rsidRPr="006404B6">
        <w:rPr>
          <w:rFonts w:ascii="Arial" w:hAnsi="Arial" w:cs="Arial"/>
          <w:spacing w:val="3"/>
          <w:sz w:val="22"/>
          <w:szCs w:val="22"/>
        </w:rPr>
        <w:t xml:space="preserve">and possible </w:t>
      </w:r>
      <w:r w:rsidRPr="006404B6">
        <w:rPr>
          <w:rFonts w:ascii="Arial" w:hAnsi="Arial" w:cs="Arial"/>
          <w:spacing w:val="3"/>
          <w:sz w:val="22"/>
          <w:szCs w:val="22"/>
        </w:rPr>
        <w:t>weekends</w:t>
      </w:r>
      <w:r w:rsidR="006404B6" w:rsidRPr="006404B6">
        <w:rPr>
          <w:rFonts w:ascii="Arial" w:hAnsi="Arial" w:cs="Arial"/>
          <w:spacing w:val="3"/>
          <w:sz w:val="22"/>
          <w:szCs w:val="22"/>
        </w:rPr>
        <w:t>.</w:t>
      </w:r>
    </w:p>
    <w:p w14:paraId="6E3DEADE" w14:textId="77777777" w:rsidR="00D33C25" w:rsidRDefault="00D33C25" w:rsidP="00D33C25">
      <w:pPr>
        <w:spacing w:line="276" w:lineRule="auto"/>
        <w:jc w:val="both"/>
        <w:rPr>
          <w:rFonts w:ascii="Arial" w:hAnsi="Arial" w:cs="Arial"/>
          <w:sz w:val="22"/>
          <w:szCs w:val="22"/>
        </w:rPr>
      </w:pPr>
    </w:p>
    <w:p w14:paraId="24098409" w14:textId="3485C3B9" w:rsidR="0078004A" w:rsidRPr="00564C06" w:rsidRDefault="00D33C25" w:rsidP="00564C06">
      <w:pPr>
        <w:pStyle w:val="ListParagraph"/>
        <w:numPr>
          <w:ilvl w:val="0"/>
          <w:numId w:val="8"/>
        </w:numPr>
        <w:spacing w:line="276" w:lineRule="auto"/>
        <w:jc w:val="both"/>
        <w:rPr>
          <w:rFonts w:ascii="Arial" w:hAnsi="Arial" w:cs="Arial"/>
          <w:sz w:val="22"/>
          <w:szCs w:val="22"/>
        </w:rPr>
      </w:pPr>
      <w:r w:rsidRPr="00564C06">
        <w:rPr>
          <w:rFonts w:ascii="Arial" w:hAnsi="Arial" w:cs="Arial"/>
          <w:sz w:val="22"/>
          <w:szCs w:val="22"/>
        </w:rPr>
        <w:t xml:space="preserve">Accredited </w:t>
      </w:r>
      <w:r w:rsidR="0078004A" w:rsidRPr="00564C06">
        <w:rPr>
          <w:rFonts w:ascii="Arial" w:hAnsi="Arial" w:cs="Arial"/>
          <w:sz w:val="22"/>
          <w:szCs w:val="22"/>
        </w:rPr>
        <w:t>courses by Open Learning, Queen’s University, Belfast daytime,</w:t>
      </w:r>
      <w:r w:rsidR="006404B6">
        <w:rPr>
          <w:rFonts w:ascii="Arial" w:hAnsi="Arial" w:cs="Arial"/>
          <w:sz w:val="22"/>
          <w:szCs w:val="22"/>
        </w:rPr>
        <w:t xml:space="preserve"> </w:t>
      </w:r>
      <w:r w:rsidR="0078004A" w:rsidRPr="00564C06">
        <w:rPr>
          <w:rFonts w:ascii="Arial" w:hAnsi="Arial" w:cs="Arial"/>
          <w:sz w:val="22"/>
          <w:szCs w:val="22"/>
        </w:rPr>
        <w:t xml:space="preserve">evenings </w:t>
      </w:r>
      <w:r w:rsidR="00555983">
        <w:rPr>
          <w:rFonts w:ascii="Arial" w:hAnsi="Arial" w:cs="Arial"/>
          <w:sz w:val="22"/>
          <w:szCs w:val="22"/>
        </w:rPr>
        <w:t xml:space="preserve">and possible </w:t>
      </w:r>
      <w:r w:rsidR="0078004A" w:rsidRPr="00564C06">
        <w:rPr>
          <w:rFonts w:ascii="Arial" w:hAnsi="Arial" w:cs="Arial"/>
          <w:sz w:val="22"/>
          <w:szCs w:val="22"/>
        </w:rPr>
        <w:t>weekends</w:t>
      </w:r>
      <w:r w:rsidR="00555983">
        <w:rPr>
          <w:rFonts w:ascii="Arial" w:hAnsi="Arial" w:cs="Arial"/>
          <w:sz w:val="22"/>
          <w:szCs w:val="22"/>
        </w:rPr>
        <w:t>.</w:t>
      </w:r>
    </w:p>
    <w:p w14:paraId="551ADDBE" w14:textId="77777777" w:rsidR="0078004A" w:rsidRPr="00D33C25" w:rsidRDefault="0078004A" w:rsidP="00D33C25">
      <w:pPr>
        <w:spacing w:line="276" w:lineRule="auto"/>
        <w:jc w:val="both"/>
        <w:rPr>
          <w:rFonts w:ascii="Arial" w:hAnsi="Arial" w:cs="Arial"/>
          <w:sz w:val="22"/>
          <w:szCs w:val="22"/>
        </w:rPr>
      </w:pPr>
    </w:p>
    <w:p w14:paraId="057ED8F4" w14:textId="3A757503" w:rsidR="00730014" w:rsidRPr="008303AD" w:rsidRDefault="00564C06" w:rsidP="00564C06">
      <w:pPr>
        <w:pStyle w:val="ListParagraph"/>
        <w:numPr>
          <w:ilvl w:val="0"/>
          <w:numId w:val="8"/>
        </w:numPr>
        <w:spacing w:line="276" w:lineRule="auto"/>
        <w:jc w:val="both"/>
        <w:rPr>
          <w:rFonts w:ascii="Arial" w:hAnsi="Arial" w:cs="Arial"/>
          <w:sz w:val="22"/>
          <w:szCs w:val="22"/>
        </w:rPr>
      </w:pPr>
      <w:r w:rsidRPr="008303AD">
        <w:rPr>
          <w:rFonts w:ascii="Arial" w:hAnsi="Arial" w:cs="Arial"/>
          <w:sz w:val="22"/>
          <w:szCs w:val="22"/>
        </w:rPr>
        <w:t xml:space="preserve"> </w:t>
      </w:r>
      <w:r w:rsidR="00046351">
        <w:rPr>
          <w:rFonts w:ascii="Arial" w:hAnsi="Arial" w:cs="Arial"/>
          <w:sz w:val="22"/>
          <w:szCs w:val="22"/>
        </w:rPr>
        <w:t>F</w:t>
      </w:r>
      <w:r w:rsidRPr="008303AD">
        <w:rPr>
          <w:rFonts w:ascii="Arial" w:hAnsi="Arial" w:cs="Arial"/>
          <w:sz w:val="22"/>
          <w:szCs w:val="22"/>
        </w:rPr>
        <w:t>or the</w:t>
      </w:r>
      <w:r w:rsidR="00730014" w:rsidRPr="008303AD">
        <w:rPr>
          <w:rFonts w:ascii="Arial" w:hAnsi="Arial" w:cs="Arial"/>
          <w:sz w:val="22"/>
          <w:szCs w:val="22"/>
        </w:rPr>
        <w:t xml:space="preserve"> period </w:t>
      </w:r>
      <w:r w:rsidR="00046351">
        <w:rPr>
          <w:rFonts w:ascii="Arial" w:hAnsi="Arial" w:cs="Arial"/>
          <w:sz w:val="22"/>
          <w:szCs w:val="22"/>
        </w:rPr>
        <w:t>up</w:t>
      </w:r>
      <w:r w:rsidR="00B42702">
        <w:rPr>
          <w:rFonts w:ascii="Arial" w:hAnsi="Arial" w:cs="Arial"/>
          <w:sz w:val="22"/>
          <w:szCs w:val="22"/>
        </w:rPr>
        <w:t xml:space="preserve"> </w:t>
      </w:r>
      <w:r w:rsidR="00364CE2">
        <w:rPr>
          <w:rFonts w:ascii="Arial" w:hAnsi="Arial" w:cs="Arial"/>
          <w:sz w:val="22"/>
          <w:szCs w:val="22"/>
        </w:rPr>
        <w:t>to 31</w:t>
      </w:r>
      <w:r w:rsidR="00364CE2" w:rsidRPr="00364CE2">
        <w:rPr>
          <w:rFonts w:ascii="Arial" w:hAnsi="Arial" w:cs="Arial"/>
          <w:sz w:val="22"/>
          <w:szCs w:val="22"/>
          <w:vertAlign w:val="superscript"/>
        </w:rPr>
        <w:t>st</w:t>
      </w:r>
      <w:r w:rsidR="00364CE2">
        <w:rPr>
          <w:rFonts w:ascii="Arial" w:hAnsi="Arial" w:cs="Arial"/>
          <w:sz w:val="22"/>
          <w:szCs w:val="22"/>
        </w:rPr>
        <w:t xml:space="preserve"> October</w:t>
      </w:r>
      <w:r w:rsidR="00046351" w:rsidRPr="00046351">
        <w:rPr>
          <w:rFonts w:ascii="Arial" w:hAnsi="Arial" w:cs="Arial"/>
          <w:sz w:val="22"/>
          <w:szCs w:val="22"/>
        </w:rPr>
        <w:t xml:space="preserve"> 2028</w:t>
      </w:r>
      <w:r w:rsidR="00730014" w:rsidRPr="00046351">
        <w:rPr>
          <w:rFonts w:ascii="Arial" w:hAnsi="Arial" w:cs="Arial"/>
          <w:sz w:val="22"/>
          <w:szCs w:val="22"/>
        </w:rPr>
        <w:t xml:space="preserve"> </w:t>
      </w:r>
      <w:r w:rsidR="00730014" w:rsidRPr="008303AD">
        <w:rPr>
          <w:rFonts w:ascii="Arial" w:hAnsi="Arial" w:cs="Arial"/>
          <w:sz w:val="22"/>
          <w:szCs w:val="22"/>
        </w:rPr>
        <w:t xml:space="preserve">with an opportunity to extend, subject to funding. </w:t>
      </w:r>
    </w:p>
    <w:p w14:paraId="6E55B3CC" w14:textId="77777777" w:rsidR="00730014" w:rsidRPr="002D0C7A" w:rsidRDefault="00730014" w:rsidP="00730014">
      <w:pPr>
        <w:pStyle w:val="ListParagraph"/>
        <w:rPr>
          <w:rFonts w:ascii="Arial" w:hAnsi="Arial" w:cs="Arial"/>
          <w:sz w:val="22"/>
          <w:szCs w:val="22"/>
        </w:rPr>
      </w:pPr>
    </w:p>
    <w:p w14:paraId="68DF8AEC" w14:textId="77777777" w:rsidR="00730014" w:rsidRPr="001E4C45" w:rsidRDefault="00730014" w:rsidP="00730014">
      <w:pPr>
        <w:pStyle w:val="ListParagraph"/>
        <w:numPr>
          <w:ilvl w:val="1"/>
          <w:numId w:val="3"/>
        </w:numPr>
        <w:spacing w:line="276" w:lineRule="auto"/>
        <w:jc w:val="both"/>
        <w:rPr>
          <w:rFonts w:ascii="Arial" w:hAnsi="Arial" w:cs="Arial"/>
          <w:b/>
          <w:sz w:val="22"/>
          <w:szCs w:val="22"/>
        </w:rPr>
      </w:pPr>
      <w:r w:rsidRPr="001E4C45">
        <w:rPr>
          <w:rFonts w:ascii="Arial" w:hAnsi="Arial" w:cs="Arial"/>
          <w:b/>
          <w:sz w:val="22"/>
          <w:szCs w:val="22"/>
        </w:rPr>
        <w:t>Project Deliverables</w:t>
      </w:r>
    </w:p>
    <w:p w14:paraId="62E17CA3" w14:textId="77777777" w:rsidR="00730014" w:rsidRPr="001654D3" w:rsidRDefault="00730014" w:rsidP="00730014">
      <w:pPr>
        <w:autoSpaceDE w:val="0"/>
        <w:autoSpaceDN w:val="0"/>
        <w:adjustRightInd w:val="0"/>
        <w:spacing w:line="276" w:lineRule="auto"/>
        <w:jc w:val="both"/>
        <w:rPr>
          <w:rFonts w:ascii="Arial" w:hAnsi="Arial" w:cs="Arial"/>
          <w:sz w:val="22"/>
          <w:szCs w:val="22"/>
        </w:rPr>
      </w:pPr>
    </w:p>
    <w:p w14:paraId="123A7272" w14:textId="22FCAFBB" w:rsidR="00730014" w:rsidRPr="00A40F04" w:rsidRDefault="00730014" w:rsidP="00A40F04">
      <w:pPr>
        <w:spacing w:line="276" w:lineRule="auto"/>
        <w:jc w:val="both"/>
        <w:rPr>
          <w:rFonts w:ascii="Arial" w:hAnsi="Arial" w:cs="Arial"/>
          <w:bCs/>
          <w:sz w:val="22"/>
          <w:szCs w:val="22"/>
        </w:rPr>
      </w:pPr>
      <w:r w:rsidRPr="00A40F04">
        <w:rPr>
          <w:rFonts w:ascii="Arial" w:hAnsi="Arial" w:cs="Arial"/>
          <w:bCs/>
          <w:sz w:val="22"/>
          <w:szCs w:val="22"/>
        </w:rPr>
        <w:t xml:space="preserve">The successful service providers(s) will be expected to </w:t>
      </w:r>
      <w:r w:rsidR="00BC1DF1" w:rsidRPr="00A40F04">
        <w:rPr>
          <w:rFonts w:ascii="Arial" w:hAnsi="Arial" w:cs="Arial"/>
          <w:bCs/>
          <w:sz w:val="22"/>
          <w:szCs w:val="22"/>
        </w:rPr>
        <w:t xml:space="preserve">deliver training </w:t>
      </w:r>
      <w:r w:rsidRPr="00A40F04">
        <w:rPr>
          <w:rFonts w:ascii="Arial" w:hAnsi="Arial" w:cs="Arial"/>
          <w:sz w:val="22"/>
          <w:szCs w:val="22"/>
        </w:rPr>
        <w:t xml:space="preserve">in the following </w:t>
      </w:r>
      <w:r w:rsidR="00FC5076" w:rsidRPr="00A40F04">
        <w:rPr>
          <w:rFonts w:ascii="Arial" w:hAnsi="Arial" w:cs="Arial"/>
          <w:sz w:val="22"/>
          <w:szCs w:val="22"/>
        </w:rPr>
        <w:t>*</w:t>
      </w:r>
      <w:r w:rsidRPr="00A40F04">
        <w:rPr>
          <w:rFonts w:ascii="Arial" w:hAnsi="Arial" w:cs="Arial"/>
          <w:sz w:val="22"/>
          <w:szCs w:val="22"/>
        </w:rPr>
        <w:t xml:space="preserve">areas:- </w:t>
      </w:r>
    </w:p>
    <w:p w14:paraId="67452D45" w14:textId="77777777" w:rsidR="00730014" w:rsidRPr="001654D3" w:rsidRDefault="00730014" w:rsidP="00730014">
      <w:pPr>
        <w:ind w:left="1560" w:hanging="709"/>
        <w:jc w:val="both"/>
        <w:rPr>
          <w:rFonts w:ascii="Arial" w:hAnsi="Arial" w:cs="Arial"/>
          <w:bCs/>
          <w:sz w:val="22"/>
          <w:szCs w:val="22"/>
        </w:rPr>
      </w:pPr>
    </w:p>
    <w:p w14:paraId="63E69033" w14:textId="77777777" w:rsidR="00730014" w:rsidRPr="000937E1"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Armagh</w:t>
      </w:r>
    </w:p>
    <w:p w14:paraId="1F36D018" w14:textId="77777777" w:rsidR="00730014" w:rsidRPr="000937E1"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Ballymoney</w:t>
      </w:r>
    </w:p>
    <w:p w14:paraId="14D9DAD9" w14:textId="77777777" w:rsidR="00730014" w:rsidRPr="000937E1"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Belfast</w:t>
      </w:r>
    </w:p>
    <w:p w14:paraId="04AD7E2B" w14:textId="77777777" w:rsidR="00730014" w:rsidRPr="000937E1"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Derry Londonderry</w:t>
      </w:r>
    </w:p>
    <w:p w14:paraId="0ECDE81A" w14:textId="77777777" w:rsidR="00730014" w:rsidRPr="000937E1"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Omagh</w:t>
      </w:r>
    </w:p>
    <w:p w14:paraId="0C4DF4EE" w14:textId="77777777" w:rsidR="00730014" w:rsidRDefault="00730014" w:rsidP="00730014">
      <w:pPr>
        <w:pStyle w:val="ListParagraph"/>
        <w:numPr>
          <w:ilvl w:val="0"/>
          <w:numId w:val="7"/>
        </w:numPr>
        <w:jc w:val="both"/>
        <w:rPr>
          <w:rFonts w:ascii="Arial" w:hAnsi="Arial" w:cs="Arial"/>
          <w:bCs/>
          <w:sz w:val="22"/>
          <w:szCs w:val="22"/>
        </w:rPr>
      </w:pPr>
      <w:r w:rsidRPr="000937E1">
        <w:rPr>
          <w:rFonts w:ascii="Arial" w:hAnsi="Arial" w:cs="Arial"/>
          <w:bCs/>
          <w:sz w:val="22"/>
          <w:szCs w:val="22"/>
        </w:rPr>
        <w:t>Killough</w:t>
      </w:r>
    </w:p>
    <w:p w14:paraId="25BA0CE1" w14:textId="77777777" w:rsidR="00730014" w:rsidRDefault="00730014" w:rsidP="00730014">
      <w:pPr>
        <w:pStyle w:val="DefaultText"/>
        <w:spacing w:line="276" w:lineRule="auto"/>
        <w:ind w:left="360"/>
        <w:jc w:val="both"/>
        <w:rPr>
          <w:rStyle w:val="InitialStyle"/>
          <w:rFonts w:ascii="Arial" w:hAnsi="Arial" w:cs="Arial"/>
          <w:sz w:val="22"/>
          <w:szCs w:val="22"/>
        </w:rPr>
      </w:pPr>
    </w:p>
    <w:p w14:paraId="41B52761" w14:textId="31B172DC" w:rsidR="00730014" w:rsidRPr="00555983" w:rsidRDefault="00FC5076" w:rsidP="00555983">
      <w:pPr>
        <w:pStyle w:val="DefaultText"/>
        <w:spacing w:line="276" w:lineRule="auto"/>
        <w:jc w:val="both"/>
        <w:rPr>
          <w:rFonts w:ascii="Arial" w:hAnsi="Arial" w:cs="Arial"/>
          <w:b/>
          <w:bCs/>
          <w:sz w:val="22"/>
          <w:szCs w:val="22"/>
        </w:rPr>
      </w:pPr>
      <w:r w:rsidRPr="00FC5076">
        <w:rPr>
          <w:rStyle w:val="InitialStyle"/>
          <w:rFonts w:ascii="Arial" w:hAnsi="Arial" w:cs="Arial"/>
          <w:b/>
          <w:bCs/>
          <w:sz w:val="22"/>
          <w:szCs w:val="22"/>
        </w:rPr>
        <w:t>*</w:t>
      </w:r>
      <w:r w:rsidR="00BC1DF1" w:rsidRPr="00FC5076">
        <w:rPr>
          <w:rStyle w:val="InitialStyle"/>
          <w:rFonts w:ascii="Arial" w:hAnsi="Arial" w:cs="Arial"/>
          <w:b/>
          <w:bCs/>
          <w:sz w:val="22"/>
          <w:szCs w:val="22"/>
        </w:rPr>
        <w:t xml:space="preserve">Your preference of centre will be considered.  </w:t>
      </w:r>
    </w:p>
    <w:p w14:paraId="0379CDD5" w14:textId="77777777" w:rsidR="00730014" w:rsidRPr="00555983" w:rsidRDefault="00730014" w:rsidP="00555983">
      <w:pPr>
        <w:rPr>
          <w:rFonts w:ascii="Arial" w:hAnsi="Arial" w:cs="Arial"/>
          <w:color w:val="FF0000"/>
          <w:sz w:val="22"/>
          <w:szCs w:val="22"/>
        </w:rPr>
      </w:pPr>
    </w:p>
    <w:p w14:paraId="72DA044C" w14:textId="77777777" w:rsidR="00730014" w:rsidRDefault="00730014" w:rsidP="00730014">
      <w:pPr>
        <w:pStyle w:val="ListParagraph"/>
        <w:numPr>
          <w:ilvl w:val="0"/>
          <w:numId w:val="3"/>
        </w:numPr>
        <w:spacing w:line="276" w:lineRule="auto"/>
        <w:jc w:val="both"/>
        <w:rPr>
          <w:rFonts w:ascii="Arial" w:hAnsi="Arial" w:cs="Arial"/>
          <w:b/>
          <w:sz w:val="22"/>
          <w:szCs w:val="22"/>
        </w:rPr>
      </w:pPr>
      <w:r w:rsidRPr="002C3A3F">
        <w:rPr>
          <w:rFonts w:ascii="Arial" w:hAnsi="Arial" w:cs="Arial"/>
          <w:b/>
          <w:sz w:val="22"/>
          <w:szCs w:val="22"/>
        </w:rPr>
        <w:t>ELIGIBILITY CRITERIA</w:t>
      </w:r>
    </w:p>
    <w:p w14:paraId="30E3BFFC" w14:textId="77777777" w:rsidR="00730014" w:rsidRDefault="00730014" w:rsidP="00730014">
      <w:pPr>
        <w:spacing w:line="276" w:lineRule="auto"/>
        <w:jc w:val="both"/>
        <w:rPr>
          <w:rFonts w:ascii="Arial" w:hAnsi="Arial" w:cs="Arial"/>
          <w:b/>
          <w:sz w:val="22"/>
          <w:szCs w:val="22"/>
        </w:rPr>
      </w:pPr>
    </w:p>
    <w:p w14:paraId="07C8E5D4" w14:textId="6A7DEFB2" w:rsidR="00730014" w:rsidRDefault="00730014" w:rsidP="00730014">
      <w:pPr>
        <w:spacing w:line="276" w:lineRule="auto"/>
        <w:jc w:val="both"/>
        <w:rPr>
          <w:rFonts w:ascii="Arial" w:hAnsi="Arial" w:cs="Arial"/>
          <w:bCs/>
          <w:sz w:val="22"/>
          <w:szCs w:val="22"/>
        </w:rPr>
      </w:pPr>
      <w:r w:rsidRPr="00B44D16">
        <w:rPr>
          <w:rFonts w:ascii="Arial" w:hAnsi="Arial" w:cs="Arial"/>
          <w:bCs/>
          <w:sz w:val="22"/>
          <w:szCs w:val="22"/>
        </w:rPr>
        <w:t xml:space="preserve">The assessment process will comprise of two stages.  Tenderers must not make assumptions </w:t>
      </w:r>
      <w:r>
        <w:rPr>
          <w:rFonts w:ascii="Arial" w:hAnsi="Arial" w:cs="Arial"/>
          <w:bCs/>
          <w:sz w:val="22"/>
          <w:szCs w:val="22"/>
        </w:rPr>
        <w:t xml:space="preserve">that WAVE had prior knowledge of their service provision.  Tenderers will only be evaluated on the information provided in their response.  Tenderers must note that the response to individual criterion are standalone and must not be cross referenced with other sections of the tender.  The Evaluation Panel will not take account of information presented in another parts or section of your tender, when assessing your response to each criterion.  </w:t>
      </w:r>
    </w:p>
    <w:p w14:paraId="6632A3BE" w14:textId="77777777" w:rsidR="00FC6ACF" w:rsidRDefault="00FC6ACF" w:rsidP="00730014">
      <w:pPr>
        <w:spacing w:line="276" w:lineRule="auto"/>
        <w:jc w:val="both"/>
        <w:rPr>
          <w:rFonts w:ascii="Arial" w:hAnsi="Arial" w:cs="Arial"/>
          <w:bCs/>
          <w:sz w:val="22"/>
          <w:szCs w:val="22"/>
        </w:rPr>
      </w:pPr>
    </w:p>
    <w:p w14:paraId="4125BC13" w14:textId="77777777" w:rsidR="00730014" w:rsidRDefault="00730014" w:rsidP="00730014">
      <w:pPr>
        <w:spacing w:line="276" w:lineRule="auto"/>
        <w:jc w:val="both"/>
        <w:rPr>
          <w:rFonts w:ascii="Arial" w:hAnsi="Arial" w:cs="Arial"/>
          <w:bCs/>
          <w:sz w:val="22"/>
          <w:szCs w:val="22"/>
        </w:rPr>
      </w:pPr>
      <w:r>
        <w:rPr>
          <w:rFonts w:ascii="Arial" w:hAnsi="Arial" w:cs="Arial"/>
          <w:bCs/>
          <w:sz w:val="22"/>
          <w:szCs w:val="22"/>
        </w:rPr>
        <w:t xml:space="preserve">In order to pass the selection stage and progress to stage 2, tenderers must demonstrate that they meet the minimum standards.   Tenderers will be assessed on their ability to meet all of the minimum standards detailed in this section below.  </w:t>
      </w:r>
    </w:p>
    <w:p w14:paraId="5FACF85F" w14:textId="77777777" w:rsidR="00730014" w:rsidRDefault="00730014" w:rsidP="00730014">
      <w:pPr>
        <w:tabs>
          <w:tab w:val="left" w:pos="709"/>
        </w:tabs>
        <w:spacing w:line="276" w:lineRule="auto"/>
        <w:ind w:left="709" w:hanging="709"/>
        <w:jc w:val="both"/>
        <w:rPr>
          <w:rFonts w:ascii="Arial" w:hAnsi="Arial" w:cs="Arial"/>
          <w:bCs/>
          <w:sz w:val="22"/>
          <w:szCs w:val="22"/>
        </w:rPr>
      </w:pPr>
      <w:r w:rsidRPr="00B44D16">
        <w:rPr>
          <w:rFonts w:ascii="Arial" w:hAnsi="Arial" w:cs="Arial"/>
          <w:bCs/>
          <w:sz w:val="22"/>
          <w:szCs w:val="22"/>
        </w:rPr>
        <w:tab/>
      </w:r>
    </w:p>
    <w:p w14:paraId="593C0C08" w14:textId="77777777" w:rsidR="00FC6ACF" w:rsidRDefault="00FC6ACF" w:rsidP="00730014">
      <w:pPr>
        <w:tabs>
          <w:tab w:val="left" w:pos="709"/>
        </w:tabs>
        <w:spacing w:line="276" w:lineRule="auto"/>
        <w:ind w:left="709" w:hanging="709"/>
        <w:jc w:val="both"/>
        <w:rPr>
          <w:rFonts w:ascii="Arial" w:hAnsi="Arial" w:cs="Arial"/>
          <w:bCs/>
          <w:sz w:val="22"/>
          <w:szCs w:val="22"/>
        </w:rPr>
      </w:pPr>
    </w:p>
    <w:p w14:paraId="615D32E8" w14:textId="77777777" w:rsidR="00FC6ACF" w:rsidRDefault="00FC6ACF" w:rsidP="00730014">
      <w:pPr>
        <w:tabs>
          <w:tab w:val="left" w:pos="709"/>
        </w:tabs>
        <w:spacing w:line="276" w:lineRule="auto"/>
        <w:ind w:left="709" w:hanging="709"/>
        <w:jc w:val="both"/>
        <w:rPr>
          <w:rFonts w:ascii="Arial" w:hAnsi="Arial" w:cs="Arial"/>
          <w:bCs/>
          <w:sz w:val="22"/>
          <w:szCs w:val="22"/>
        </w:rPr>
      </w:pPr>
    </w:p>
    <w:p w14:paraId="01680298" w14:textId="77777777" w:rsidR="00113474" w:rsidRDefault="00113474" w:rsidP="008E7966">
      <w:pPr>
        <w:spacing w:line="276" w:lineRule="auto"/>
        <w:jc w:val="both"/>
        <w:rPr>
          <w:rFonts w:ascii="Arial" w:hAnsi="Arial" w:cs="Arial"/>
          <w:bCs/>
          <w:sz w:val="22"/>
          <w:szCs w:val="22"/>
        </w:rPr>
      </w:pPr>
    </w:p>
    <w:p w14:paraId="775F6CE9" w14:textId="77777777" w:rsidR="00D5738A" w:rsidRPr="00393E2E" w:rsidRDefault="00D5738A" w:rsidP="008E7966">
      <w:pPr>
        <w:spacing w:line="276" w:lineRule="auto"/>
        <w:jc w:val="both"/>
        <w:rPr>
          <w:rFonts w:ascii="Arial" w:hAnsi="Arial" w:cs="Arial"/>
          <w:b/>
          <w:sz w:val="22"/>
          <w:szCs w:val="22"/>
        </w:rPr>
      </w:pPr>
    </w:p>
    <w:p w14:paraId="2CD30BA9" w14:textId="77777777" w:rsidR="008E7966" w:rsidRPr="00387729" w:rsidRDefault="008E7966" w:rsidP="00D5738A">
      <w:pPr>
        <w:jc w:val="both"/>
        <w:rPr>
          <w:rFonts w:ascii="Arial" w:hAnsi="Arial" w:cs="Arial"/>
          <w:sz w:val="22"/>
          <w:szCs w:val="22"/>
        </w:rPr>
      </w:pPr>
      <w:r w:rsidRPr="00387729">
        <w:rPr>
          <w:rFonts w:ascii="Arial" w:hAnsi="Arial" w:cs="Arial"/>
          <w:sz w:val="22"/>
          <w:szCs w:val="22"/>
        </w:rPr>
        <w:lastRenderedPageBreak/>
        <w:t>Tender</w:t>
      </w:r>
      <w:r>
        <w:rPr>
          <w:rFonts w:ascii="Arial" w:hAnsi="Arial" w:cs="Arial"/>
          <w:sz w:val="22"/>
          <w:szCs w:val="22"/>
        </w:rPr>
        <w:t>er</w:t>
      </w:r>
      <w:r w:rsidRPr="00387729">
        <w:rPr>
          <w:rFonts w:ascii="Arial" w:hAnsi="Arial" w:cs="Arial"/>
          <w:sz w:val="22"/>
          <w:szCs w:val="22"/>
        </w:rPr>
        <w:t>s for this project must meet all Eligibility Criteria below</w:t>
      </w:r>
      <w:r>
        <w:rPr>
          <w:rFonts w:ascii="Arial" w:hAnsi="Arial" w:cs="Arial"/>
          <w:sz w:val="22"/>
          <w:szCs w:val="22"/>
        </w:rPr>
        <w:t>:-</w:t>
      </w:r>
    </w:p>
    <w:p w14:paraId="37730A97" w14:textId="77777777" w:rsidR="008E7966" w:rsidRDefault="008E7966" w:rsidP="008E7966">
      <w:pPr>
        <w:spacing w:line="276" w:lineRule="auto"/>
        <w:jc w:val="both"/>
        <w:rPr>
          <w:rFonts w:ascii="Arial" w:hAnsi="Arial" w:cs="Arial"/>
          <w:bCs/>
          <w:sz w:val="22"/>
          <w:szCs w:val="22"/>
        </w:rPr>
      </w:pPr>
    </w:p>
    <w:tbl>
      <w:tblPr>
        <w:tblStyle w:val="TableGrid"/>
        <w:tblW w:w="0" w:type="auto"/>
        <w:tblLook w:val="04A0" w:firstRow="1" w:lastRow="0" w:firstColumn="1" w:lastColumn="0" w:noHBand="0" w:noVBand="1"/>
      </w:tblPr>
      <w:tblGrid>
        <w:gridCol w:w="562"/>
        <w:gridCol w:w="6804"/>
        <w:gridCol w:w="1650"/>
      </w:tblGrid>
      <w:tr w:rsidR="008E7966" w14:paraId="2A2EDB14" w14:textId="77777777" w:rsidTr="000A7CAA">
        <w:tc>
          <w:tcPr>
            <w:tcW w:w="9016" w:type="dxa"/>
            <w:gridSpan w:val="3"/>
          </w:tcPr>
          <w:p w14:paraId="536A2589" w14:textId="77777777" w:rsidR="008E7966" w:rsidRDefault="008E7966" w:rsidP="000A7CAA">
            <w:pPr>
              <w:spacing w:line="276" w:lineRule="auto"/>
              <w:jc w:val="both"/>
              <w:rPr>
                <w:rFonts w:ascii="Arial" w:hAnsi="Arial" w:cs="Arial"/>
                <w:bCs/>
                <w:sz w:val="22"/>
              </w:rPr>
            </w:pPr>
            <w:r>
              <w:rPr>
                <w:rFonts w:ascii="Arial" w:hAnsi="Arial" w:cs="Arial"/>
                <w:bCs/>
                <w:sz w:val="22"/>
              </w:rPr>
              <w:t xml:space="preserve">Qualification/Experience/Accreditation </w:t>
            </w:r>
          </w:p>
        </w:tc>
      </w:tr>
      <w:tr w:rsidR="008E7966" w:rsidRPr="00D93510" w14:paraId="618DD300" w14:textId="77777777" w:rsidTr="000A7CAA">
        <w:tc>
          <w:tcPr>
            <w:tcW w:w="9016" w:type="dxa"/>
            <w:gridSpan w:val="3"/>
          </w:tcPr>
          <w:p w14:paraId="62974DBA" w14:textId="77777777" w:rsidR="008E7966" w:rsidRPr="00D93510" w:rsidRDefault="008E7966" w:rsidP="000A7CAA">
            <w:pPr>
              <w:spacing w:line="276" w:lineRule="auto"/>
              <w:jc w:val="both"/>
              <w:rPr>
                <w:rFonts w:ascii="Arial" w:hAnsi="Arial" w:cs="Arial"/>
                <w:b/>
                <w:sz w:val="22"/>
              </w:rPr>
            </w:pPr>
            <w:r w:rsidRPr="00D93510">
              <w:rPr>
                <w:rFonts w:ascii="Arial" w:hAnsi="Arial" w:cs="Arial"/>
                <w:sz w:val="22"/>
              </w:rPr>
              <w:t xml:space="preserve">Tenderers must indicate their ability to meet the minimum requirements </w:t>
            </w:r>
          </w:p>
        </w:tc>
      </w:tr>
      <w:tr w:rsidR="008E7966" w14:paraId="2EB0EC84" w14:textId="77777777" w:rsidTr="000A7CAA">
        <w:tc>
          <w:tcPr>
            <w:tcW w:w="562" w:type="dxa"/>
          </w:tcPr>
          <w:p w14:paraId="18E49F90" w14:textId="77777777" w:rsidR="008E7966" w:rsidRDefault="008E7966" w:rsidP="000A7CAA">
            <w:pPr>
              <w:spacing w:line="276" w:lineRule="auto"/>
              <w:jc w:val="center"/>
              <w:rPr>
                <w:rFonts w:ascii="Arial" w:hAnsi="Arial" w:cs="Arial"/>
                <w:bCs/>
                <w:sz w:val="22"/>
              </w:rPr>
            </w:pPr>
          </w:p>
        </w:tc>
        <w:tc>
          <w:tcPr>
            <w:tcW w:w="6804" w:type="dxa"/>
          </w:tcPr>
          <w:p w14:paraId="15CA14C2" w14:textId="147E19BC" w:rsidR="008E7966" w:rsidRPr="00897A8D" w:rsidRDefault="00F7514A" w:rsidP="000A7CAA">
            <w:pPr>
              <w:pStyle w:val="BodyTextIndent"/>
              <w:ind w:left="0"/>
              <w:jc w:val="both"/>
              <w:rPr>
                <w:rFonts w:ascii="Arial" w:hAnsi="Arial" w:cs="Arial"/>
                <w:bCs/>
                <w:sz w:val="22"/>
                <w:szCs w:val="22"/>
              </w:rPr>
            </w:pPr>
            <w:r>
              <w:rPr>
                <w:rFonts w:ascii="Arial" w:hAnsi="Arial" w:cs="Arial"/>
                <w:bCs/>
                <w:sz w:val="22"/>
                <w:szCs w:val="22"/>
              </w:rPr>
              <w:t>Education to Degree Level 6 (or equivalent) in Psychology, Counselling, Psychotherapy Social Work, Community Development, Trauma Studies, Nursing, Substance USE /Addictions or an equivalent, relevant area of study.</w:t>
            </w:r>
          </w:p>
          <w:p w14:paraId="048B07DC" w14:textId="77777777" w:rsidR="008E7966" w:rsidRPr="008C3F2C" w:rsidRDefault="008E7966" w:rsidP="000A7CAA">
            <w:pPr>
              <w:tabs>
                <w:tab w:val="left" w:pos="709"/>
              </w:tabs>
              <w:spacing w:line="276" w:lineRule="auto"/>
              <w:jc w:val="both"/>
              <w:rPr>
                <w:rFonts w:ascii="Arial" w:hAnsi="Arial" w:cs="Arial"/>
                <w:bCs/>
                <w:sz w:val="22"/>
              </w:rPr>
            </w:pPr>
          </w:p>
        </w:tc>
        <w:tc>
          <w:tcPr>
            <w:tcW w:w="1650" w:type="dxa"/>
          </w:tcPr>
          <w:p w14:paraId="64B92AEF" w14:textId="77777777" w:rsidR="008E7966" w:rsidRDefault="008E7966" w:rsidP="000A7CAA">
            <w:pPr>
              <w:spacing w:line="276" w:lineRule="auto"/>
              <w:jc w:val="both"/>
              <w:rPr>
                <w:rFonts w:ascii="Arial" w:hAnsi="Arial" w:cs="Arial"/>
                <w:bCs/>
                <w:sz w:val="22"/>
              </w:rPr>
            </w:pPr>
            <w:r>
              <w:rPr>
                <w:rFonts w:ascii="Arial" w:hAnsi="Arial" w:cs="Arial"/>
                <w:bCs/>
                <w:sz w:val="22"/>
              </w:rPr>
              <w:t>Pass/Fail</w:t>
            </w:r>
          </w:p>
        </w:tc>
      </w:tr>
      <w:tr w:rsidR="008E7966" w14:paraId="79B360A5" w14:textId="77777777" w:rsidTr="000A7CAA">
        <w:tc>
          <w:tcPr>
            <w:tcW w:w="562" w:type="dxa"/>
          </w:tcPr>
          <w:p w14:paraId="546E47B0" w14:textId="77777777" w:rsidR="008E7966" w:rsidRDefault="008E7966" w:rsidP="000A7CAA">
            <w:pPr>
              <w:spacing w:line="276" w:lineRule="auto"/>
              <w:jc w:val="center"/>
              <w:rPr>
                <w:rFonts w:ascii="Arial" w:hAnsi="Arial" w:cs="Arial"/>
                <w:bCs/>
                <w:sz w:val="22"/>
              </w:rPr>
            </w:pPr>
          </w:p>
        </w:tc>
        <w:tc>
          <w:tcPr>
            <w:tcW w:w="6804" w:type="dxa"/>
          </w:tcPr>
          <w:p w14:paraId="7A0C0A83" w14:textId="4260D68F" w:rsidR="008E7966" w:rsidRPr="00A10131" w:rsidRDefault="00A10131" w:rsidP="008E7966">
            <w:pPr>
              <w:tabs>
                <w:tab w:val="left" w:pos="709"/>
              </w:tabs>
              <w:spacing w:line="276" w:lineRule="auto"/>
              <w:jc w:val="both"/>
              <w:rPr>
                <w:rFonts w:ascii="Arial" w:hAnsi="Arial" w:cs="Arial"/>
                <w:b/>
                <w:sz w:val="22"/>
                <w:szCs w:val="22"/>
              </w:rPr>
            </w:pPr>
            <w:r>
              <w:rPr>
                <w:rFonts w:ascii="Arial" w:hAnsi="Arial" w:cs="Arial"/>
                <w:sz w:val="22"/>
              </w:rPr>
              <w:t>Two</w:t>
            </w:r>
            <w:r w:rsidRPr="003A4DCA">
              <w:rPr>
                <w:rFonts w:ascii="Arial" w:hAnsi="Arial" w:cs="Arial"/>
                <w:sz w:val="22"/>
              </w:rPr>
              <w:t xml:space="preserve"> years’ experience of working in the area of traum</w:t>
            </w:r>
            <w:r w:rsidR="00BE70E3">
              <w:rPr>
                <w:rFonts w:ascii="Arial" w:hAnsi="Arial" w:cs="Arial"/>
                <w:sz w:val="22"/>
              </w:rPr>
              <w:t>a.</w:t>
            </w:r>
          </w:p>
        </w:tc>
        <w:tc>
          <w:tcPr>
            <w:tcW w:w="1650" w:type="dxa"/>
          </w:tcPr>
          <w:p w14:paraId="19D8F49C" w14:textId="77777777" w:rsidR="008E7966" w:rsidRDefault="008E7966" w:rsidP="000A7CAA">
            <w:pPr>
              <w:spacing w:line="276" w:lineRule="auto"/>
              <w:jc w:val="both"/>
              <w:rPr>
                <w:rFonts w:ascii="Arial" w:hAnsi="Arial" w:cs="Arial"/>
                <w:bCs/>
                <w:sz w:val="22"/>
              </w:rPr>
            </w:pPr>
            <w:r>
              <w:rPr>
                <w:rFonts w:ascii="Arial" w:hAnsi="Arial" w:cs="Arial"/>
                <w:bCs/>
                <w:sz w:val="22"/>
              </w:rPr>
              <w:t>Pass/Fail</w:t>
            </w:r>
          </w:p>
          <w:p w14:paraId="3AFC3CC0" w14:textId="77777777" w:rsidR="00394B54" w:rsidRDefault="00394B54" w:rsidP="000A7CAA">
            <w:pPr>
              <w:spacing w:line="276" w:lineRule="auto"/>
              <w:jc w:val="both"/>
              <w:rPr>
                <w:rFonts w:ascii="Arial" w:hAnsi="Arial" w:cs="Arial"/>
                <w:bCs/>
                <w:sz w:val="22"/>
              </w:rPr>
            </w:pPr>
          </w:p>
        </w:tc>
      </w:tr>
      <w:tr w:rsidR="00A10131" w14:paraId="39AC0CFE" w14:textId="77777777" w:rsidTr="000A7CAA">
        <w:tc>
          <w:tcPr>
            <w:tcW w:w="562" w:type="dxa"/>
          </w:tcPr>
          <w:p w14:paraId="3014E2B1" w14:textId="77777777" w:rsidR="00A10131" w:rsidRDefault="00A10131" w:rsidP="000A7CAA">
            <w:pPr>
              <w:spacing w:line="276" w:lineRule="auto"/>
              <w:jc w:val="center"/>
              <w:rPr>
                <w:rFonts w:ascii="Arial" w:hAnsi="Arial" w:cs="Arial"/>
                <w:bCs/>
                <w:sz w:val="22"/>
              </w:rPr>
            </w:pPr>
          </w:p>
        </w:tc>
        <w:tc>
          <w:tcPr>
            <w:tcW w:w="6804" w:type="dxa"/>
          </w:tcPr>
          <w:p w14:paraId="58A3B8D1" w14:textId="77777777" w:rsidR="00A10131" w:rsidRPr="00BE70E3" w:rsidRDefault="00394B54" w:rsidP="008E7966">
            <w:pPr>
              <w:tabs>
                <w:tab w:val="left" w:pos="709"/>
              </w:tabs>
              <w:spacing w:line="276" w:lineRule="auto"/>
              <w:jc w:val="both"/>
              <w:rPr>
                <w:rFonts w:ascii="Arial" w:hAnsi="Arial" w:cs="Arial"/>
                <w:sz w:val="22"/>
                <w:szCs w:val="22"/>
              </w:rPr>
            </w:pPr>
            <w:r w:rsidRPr="00BE70E3">
              <w:rPr>
                <w:rFonts w:ascii="Arial" w:hAnsi="Arial" w:cs="Arial"/>
                <w:sz w:val="22"/>
                <w:szCs w:val="22"/>
              </w:rPr>
              <w:t>Two years’ experience delivering education programmes to adults in either a community, further education and/or organisational setting. </w:t>
            </w:r>
          </w:p>
          <w:p w14:paraId="2C496F47" w14:textId="4B02F545" w:rsidR="00394B54" w:rsidRPr="00BE70E3" w:rsidRDefault="00394B54" w:rsidP="008E7966">
            <w:pPr>
              <w:tabs>
                <w:tab w:val="left" w:pos="709"/>
              </w:tabs>
              <w:spacing w:line="276" w:lineRule="auto"/>
              <w:jc w:val="both"/>
              <w:rPr>
                <w:rFonts w:ascii="Arial" w:hAnsi="Arial" w:cs="Arial"/>
                <w:sz w:val="22"/>
              </w:rPr>
            </w:pPr>
          </w:p>
        </w:tc>
        <w:tc>
          <w:tcPr>
            <w:tcW w:w="1650" w:type="dxa"/>
          </w:tcPr>
          <w:p w14:paraId="183EBB81" w14:textId="683229C0" w:rsidR="00A10131" w:rsidRPr="00BE70E3" w:rsidRDefault="00394B54" w:rsidP="000A7CAA">
            <w:pPr>
              <w:spacing w:line="276" w:lineRule="auto"/>
              <w:jc w:val="both"/>
              <w:rPr>
                <w:rFonts w:ascii="Arial" w:hAnsi="Arial" w:cs="Arial"/>
                <w:bCs/>
                <w:sz w:val="22"/>
              </w:rPr>
            </w:pPr>
            <w:r w:rsidRPr="00BE70E3">
              <w:rPr>
                <w:rFonts w:ascii="Arial" w:hAnsi="Arial" w:cs="Arial"/>
                <w:bCs/>
                <w:sz w:val="22"/>
              </w:rPr>
              <w:t>Pass/Fail</w:t>
            </w:r>
          </w:p>
        </w:tc>
      </w:tr>
    </w:tbl>
    <w:p w14:paraId="7359B074" w14:textId="77777777" w:rsidR="00730014" w:rsidRDefault="00730014" w:rsidP="00730014">
      <w:pPr>
        <w:spacing w:line="276" w:lineRule="auto"/>
        <w:jc w:val="both"/>
        <w:rPr>
          <w:rFonts w:ascii="Arial" w:hAnsi="Arial" w:cs="Arial"/>
          <w:bCs/>
          <w:sz w:val="22"/>
          <w:szCs w:val="22"/>
        </w:rPr>
      </w:pPr>
    </w:p>
    <w:p w14:paraId="65F24854" w14:textId="77777777" w:rsidR="00FC5503" w:rsidRDefault="00FC5503" w:rsidP="00FC5503">
      <w:pPr>
        <w:jc w:val="both"/>
        <w:rPr>
          <w:rFonts w:ascii="Arial" w:hAnsi="Arial" w:cs="Arial"/>
          <w:sz w:val="22"/>
          <w:szCs w:val="22"/>
        </w:rPr>
      </w:pPr>
      <w:r>
        <w:rPr>
          <w:rFonts w:ascii="Arial" w:hAnsi="Arial" w:cs="Arial"/>
          <w:sz w:val="22"/>
          <w:szCs w:val="22"/>
        </w:rPr>
        <w:t xml:space="preserve">The table below details the distribution of scores that will be employed by the Evaluation Panel.  </w:t>
      </w:r>
    </w:p>
    <w:p w14:paraId="1ACDA83E" w14:textId="77777777" w:rsidR="00FC5503" w:rsidRDefault="00FC5503" w:rsidP="00FC5503">
      <w:pPr>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6946"/>
        <w:gridCol w:w="1366"/>
      </w:tblGrid>
      <w:tr w:rsidR="00FC5503" w14:paraId="788CA837" w14:textId="77777777" w:rsidTr="006B22A9">
        <w:tc>
          <w:tcPr>
            <w:tcW w:w="704" w:type="dxa"/>
            <w:shd w:val="clear" w:color="auto" w:fill="D9D9D9" w:themeFill="background1" w:themeFillShade="D9"/>
          </w:tcPr>
          <w:p w14:paraId="5EBC1150" w14:textId="77777777" w:rsidR="00FC5503" w:rsidRDefault="00FC5503" w:rsidP="006B22A9">
            <w:pPr>
              <w:jc w:val="both"/>
              <w:rPr>
                <w:rFonts w:ascii="Arial" w:hAnsi="Arial" w:cs="Arial"/>
                <w:sz w:val="22"/>
              </w:rPr>
            </w:pPr>
          </w:p>
        </w:tc>
        <w:tc>
          <w:tcPr>
            <w:tcW w:w="6946" w:type="dxa"/>
            <w:shd w:val="clear" w:color="auto" w:fill="D9D9D9" w:themeFill="background1" w:themeFillShade="D9"/>
          </w:tcPr>
          <w:p w14:paraId="6FF10C24" w14:textId="77777777" w:rsidR="00FC5503" w:rsidRDefault="00FC5503" w:rsidP="006B22A9">
            <w:pPr>
              <w:jc w:val="both"/>
              <w:rPr>
                <w:rFonts w:ascii="Arial" w:hAnsi="Arial" w:cs="Arial"/>
                <w:sz w:val="22"/>
              </w:rPr>
            </w:pPr>
            <w:r>
              <w:rPr>
                <w:rFonts w:ascii="Arial" w:hAnsi="Arial" w:cs="Arial"/>
                <w:sz w:val="22"/>
              </w:rPr>
              <w:t xml:space="preserve">Quantitative Criteria </w:t>
            </w:r>
          </w:p>
        </w:tc>
        <w:tc>
          <w:tcPr>
            <w:tcW w:w="1366" w:type="dxa"/>
            <w:shd w:val="clear" w:color="auto" w:fill="D9D9D9" w:themeFill="background1" w:themeFillShade="D9"/>
          </w:tcPr>
          <w:p w14:paraId="0D6BB85E" w14:textId="77777777" w:rsidR="00FC5503" w:rsidRDefault="00FC5503" w:rsidP="006B22A9">
            <w:pPr>
              <w:jc w:val="both"/>
              <w:rPr>
                <w:rFonts w:ascii="Arial" w:hAnsi="Arial" w:cs="Arial"/>
                <w:sz w:val="22"/>
              </w:rPr>
            </w:pPr>
            <w:r>
              <w:rPr>
                <w:rFonts w:ascii="Arial" w:hAnsi="Arial" w:cs="Arial"/>
                <w:sz w:val="22"/>
              </w:rPr>
              <w:t xml:space="preserve">Marks Available </w:t>
            </w:r>
          </w:p>
        </w:tc>
      </w:tr>
      <w:tr w:rsidR="00FC5503" w14:paraId="6852B54F" w14:textId="77777777" w:rsidTr="006B22A9">
        <w:tc>
          <w:tcPr>
            <w:tcW w:w="9016" w:type="dxa"/>
            <w:gridSpan w:val="3"/>
          </w:tcPr>
          <w:p w14:paraId="471E3D6B" w14:textId="77777777" w:rsidR="00FC5503" w:rsidRDefault="00FC5503" w:rsidP="006B22A9">
            <w:pPr>
              <w:jc w:val="both"/>
              <w:rPr>
                <w:rFonts w:ascii="Arial" w:hAnsi="Arial" w:cs="Arial"/>
                <w:sz w:val="22"/>
              </w:rPr>
            </w:pPr>
            <w:r>
              <w:rPr>
                <w:rFonts w:ascii="Arial" w:hAnsi="Arial" w:cs="Arial"/>
                <w:sz w:val="22"/>
              </w:rPr>
              <w:t>Assessment of price will be based on total costs of the contract period and should be detailed as follows:</w:t>
            </w:r>
          </w:p>
          <w:p w14:paraId="6E26FA06" w14:textId="77777777" w:rsidR="00FC5503" w:rsidRDefault="00FC5503" w:rsidP="006B22A9">
            <w:pPr>
              <w:jc w:val="both"/>
              <w:rPr>
                <w:rFonts w:ascii="Arial" w:hAnsi="Arial" w:cs="Arial"/>
                <w:sz w:val="22"/>
              </w:rPr>
            </w:pPr>
          </w:p>
        </w:tc>
      </w:tr>
      <w:tr w:rsidR="00FC5503" w:rsidRPr="005A5978" w14:paraId="782266FB" w14:textId="77777777" w:rsidTr="006B22A9">
        <w:tc>
          <w:tcPr>
            <w:tcW w:w="704" w:type="dxa"/>
          </w:tcPr>
          <w:p w14:paraId="48027EBA" w14:textId="77777777" w:rsidR="00FC5503" w:rsidRPr="005A5978" w:rsidRDefault="00FC5503" w:rsidP="006B22A9">
            <w:pPr>
              <w:jc w:val="both"/>
              <w:rPr>
                <w:rFonts w:ascii="Arial" w:hAnsi="Arial" w:cs="Arial"/>
                <w:b/>
                <w:bCs/>
                <w:sz w:val="22"/>
              </w:rPr>
            </w:pPr>
          </w:p>
        </w:tc>
        <w:tc>
          <w:tcPr>
            <w:tcW w:w="6946" w:type="dxa"/>
          </w:tcPr>
          <w:p w14:paraId="22C4760C" w14:textId="543AC8FA" w:rsidR="00FC5503" w:rsidRPr="00B37856" w:rsidRDefault="00FC5503" w:rsidP="006B22A9">
            <w:pPr>
              <w:jc w:val="both"/>
              <w:rPr>
                <w:rFonts w:ascii="Arial" w:hAnsi="Arial" w:cs="Arial"/>
                <w:sz w:val="22"/>
              </w:rPr>
            </w:pPr>
            <w:r w:rsidRPr="00B37856">
              <w:rPr>
                <w:rFonts w:ascii="Arial" w:hAnsi="Arial" w:cs="Arial"/>
                <w:sz w:val="22"/>
              </w:rPr>
              <w:t xml:space="preserve">Hourly rate of providing the </w:t>
            </w:r>
            <w:r>
              <w:rPr>
                <w:rFonts w:ascii="Arial" w:hAnsi="Arial" w:cs="Arial"/>
                <w:sz w:val="22"/>
              </w:rPr>
              <w:t xml:space="preserve">supervision </w:t>
            </w:r>
            <w:r w:rsidRPr="00B37856">
              <w:rPr>
                <w:rFonts w:ascii="Arial" w:hAnsi="Arial" w:cs="Arial"/>
                <w:sz w:val="22"/>
              </w:rPr>
              <w:t>and all other associa</w:t>
            </w:r>
            <w:r>
              <w:rPr>
                <w:rFonts w:ascii="Arial" w:hAnsi="Arial" w:cs="Arial"/>
                <w:sz w:val="22"/>
              </w:rPr>
              <w:t>ted</w:t>
            </w:r>
            <w:r w:rsidRPr="00B37856">
              <w:rPr>
                <w:rFonts w:ascii="Arial" w:hAnsi="Arial" w:cs="Arial"/>
                <w:sz w:val="22"/>
              </w:rPr>
              <w:t xml:space="preserve"> costs</w:t>
            </w:r>
            <w:r w:rsidR="0058154E">
              <w:rPr>
                <w:rFonts w:ascii="Arial" w:hAnsi="Arial" w:cs="Arial"/>
                <w:sz w:val="22"/>
              </w:rPr>
              <w:t xml:space="preserve">. </w:t>
            </w:r>
            <w:r w:rsidR="00DA23A5">
              <w:rPr>
                <w:rFonts w:ascii="Arial" w:hAnsi="Arial" w:cs="Arial"/>
                <w:sz w:val="22"/>
              </w:rPr>
              <w:t>(</w:t>
            </w:r>
            <w:r w:rsidR="0058154E">
              <w:rPr>
                <w:rFonts w:ascii="Arial" w:hAnsi="Arial" w:cs="Arial"/>
                <w:sz w:val="22"/>
              </w:rPr>
              <w:t xml:space="preserve">Mileage </w:t>
            </w:r>
            <w:r w:rsidR="00B60070">
              <w:rPr>
                <w:rFonts w:ascii="Arial" w:hAnsi="Arial" w:cs="Arial"/>
                <w:sz w:val="22"/>
              </w:rPr>
              <w:t xml:space="preserve">may be paid </w:t>
            </w:r>
            <w:r w:rsidR="001B6904">
              <w:rPr>
                <w:rFonts w:ascii="Arial" w:hAnsi="Arial" w:cs="Arial"/>
                <w:sz w:val="22"/>
              </w:rPr>
              <w:t>for travel to other centres</w:t>
            </w:r>
            <w:r w:rsidR="00DA23A5">
              <w:rPr>
                <w:rFonts w:ascii="Arial" w:hAnsi="Arial" w:cs="Arial"/>
                <w:sz w:val="22"/>
              </w:rPr>
              <w:t xml:space="preserve"> outside </w:t>
            </w:r>
            <w:r w:rsidR="001B6904">
              <w:rPr>
                <w:rFonts w:ascii="Arial" w:hAnsi="Arial" w:cs="Arial"/>
                <w:sz w:val="22"/>
              </w:rPr>
              <w:t>of your preferred centre</w:t>
            </w:r>
            <w:r w:rsidR="00DA23A5">
              <w:rPr>
                <w:rFonts w:ascii="Arial" w:hAnsi="Arial" w:cs="Arial"/>
                <w:sz w:val="22"/>
              </w:rPr>
              <w:t>)</w:t>
            </w:r>
            <w:r w:rsidRPr="00B37856">
              <w:rPr>
                <w:rFonts w:ascii="Arial" w:hAnsi="Arial" w:cs="Arial"/>
                <w:sz w:val="22"/>
              </w:rPr>
              <w:t xml:space="preserve"> </w:t>
            </w:r>
          </w:p>
        </w:tc>
        <w:tc>
          <w:tcPr>
            <w:tcW w:w="1366" w:type="dxa"/>
          </w:tcPr>
          <w:p w14:paraId="65F160FB" w14:textId="77777777" w:rsidR="00FC5503" w:rsidRPr="005A5978" w:rsidRDefault="00FC5503" w:rsidP="006B22A9">
            <w:pPr>
              <w:jc w:val="both"/>
              <w:rPr>
                <w:rFonts w:ascii="Arial" w:hAnsi="Arial" w:cs="Arial"/>
                <w:sz w:val="22"/>
              </w:rPr>
            </w:pPr>
            <w:r>
              <w:rPr>
                <w:rFonts w:ascii="Arial" w:hAnsi="Arial" w:cs="Arial"/>
                <w:sz w:val="22"/>
              </w:rPr>
              <w:t>50</w:t>
            </w:r>
          </w:p>
        </w:tc>
      </w:tr>
    </w:tbl>
    <w:p w14:paraId="5AD5974E" w14:textId="77777777" w:rsidR="00FC5503" w:rsidRDefault="00FC5503" w:rsidP="00FC5503">
      <w:pPr>
        <w:jc w:val="both"/>
        <w:rPr>
          <w:rFonts w:ascii="Arial" w:hAnsi="Arial" w:cs="Arial"/>
          <w:sz w:val="22"/>
          <w:szCs w:val="22"/>
        </w:rPr>
      </w:pPr>
    </w:p>
    <w:p w14:paraId="4F1A695F" w14:textId="77777777" w:rsidR="00FC5503" w:rsidRDefault="00FC5503" w:rsidP="00FC5503">
      <w:pPr>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6946"/>
        <w:gridCol w:w="1366"/>
      </w:tblGrid>
      <w:tr w:rsidR="00FC5503" w14:paraId="3AE5201A" w14:textId="77777777" w:rsidTr="006B22A9">
        <w:tc>
          <w:tcPr>
            <w:tcW w:w="704" w:type="dxa"/>
            <w:shd w:val="clear" w:color="auto" w:fill="D9D9D9" w:themeFill="background1" w:themeFillShade="D9"/>
          </w:tcPr>
          <w:p w14:paraId="434939C7" w14:textId="77777777" w:rsidR="00FC5503" w:rsidRDefault="00FC5503" w:rsidP="006B22A9">
            <w:pPr>
              <w:jc w:val="both"/>
              <w:rPr>
                <w:rFonts w:ascii="Arial" w:hAnsi="Arial" w:cs="Arial"/>
                <w:sz w:val="22"/>
              </w:rPr>
            </w:pPr>
          </w:p>
        </w:tc>
        <w:tc>
          <w:tcPr>
            <w:tcW w:w="6946" w:type="dxa"/>
            <w:shd w:val="clear" w:color="auto" w:fill="D9D9D9" w:themeFill="background1" w:themeFillShade="D9"/>
          </w:tcPr>
          <w:p w14:paraId="6B3A6015" w14:textId="77777777" w:rsidR="00FC5503" w:rsidRDefault="00FC5503" w:rsidP="006B22A9">
            <w:pPr>
              <w:jc w:val="both"/>
              <w:rPr>
                <w:rFonts w:ascii="Arial" w:hAnsi="Arial" w:cs="Arial"/>
                <w:sz w:val="22"/>
              </w:rPr>
            </w:pPr>
            <w:r>
              <w:rPr>
                <w:rFonts w:ascii="Arial" w:hAnsi="Arial" w:cs="Arial"/>
                <w:sz w:val="22"/>
              </w:rPr>
              <w:t xml:space="preserve">Qualitative Criteria </w:t>
            </w:r>
          </w:p>
        </w:tc>
        <w:tc>
          <w:tcPr>
            <w:tcW w:w="1366" w:type="dxa"/>
            <w:shd w:val="clear" w:color="auto" w:fill="D9D9D9" w:themeFill="background1" w:themeFillShade="D9"/>
          </w:tcPr>
          <w:p w14:paraId="3984E8D6" w14:textId="77777777" w:rsidR="00FC5503" w:rsidRDefault="00FC5503" w:rsidP="006B22A9">
            <w:pPr>
              <w:jc w:val="both"/>
              <w:rPr>
                <w:rFonts w:ascii="Arial" w:hAnsi="Arial" w:cs="Arial"/>
                <w:sz w:val="22"/>
              </w:rPr>
            </w:pPr>
            <w:r>
              <w:rPr>
                <w:rFonts w:ascii="Arial" w:hAnsi="Arial" w:cs="Arial"/>
                <w:sz w:val="22"/>
              </w:rPr>
              <w:t xml:space="preserve">Marks Available </w:t>
            </w:r>
          </w:p>
        </w:tc>
      </w:tr>
      <w:tr w:rsidR="00FC5503" w:rsidRPr="0099563C" w14:paraId="154AA692" w14:textId="77777777" w:rsidTr="006B22A9">
        <w:tc>
          <w:tcPr>
            <w:tcW w:w="704" w:type="dxa"/>
          </w:tcPr>
          <w:p w14:paraId="030D4E6E" w14:textId="77777777" w:rsidR="00FC5503" w:rsidRPr="0099563C" w:rsidRDefault="00FC5503" w:rsidP="006B22A9">
            <w:pPr>
              <w:jc w:val="both"/>
              <w:rPr>
                <w:rFonts w:ascii="Arial" w:hAnsi="Arial" w:cs="Arial"/>
                <w:sz w:val="22"/>
              </w:rPr>
            </w:pPr>
          </w:p>
        </w:tc>
        <w:tc>
          <w:tcPr>
            <w:tcW w:w="6946" w:type="dxa"/>
          </w:tcPr>
          <w:p w14:paraId="3086824A" w14:textId="77777777" w:rsidR="00FC5503" w:rsidRPr="008C3F2C" w:rsidRDefault="00FC5503" w:rsidP="006B22A9">
            <w:pPr>
              <w:tabs>
                <w:tab w:val="left" w:pos="709"/>
              </w:tabs>
              <w:spacing w:line="276" w:lineRule="auto"/>
              <w:jc w:val="both"/>
              <w:rPr>
                <w:rFonts w:ascii="Arial" w:hAnsi="Arial" w:cs="Arial"/>
                <w:bCs/>
                <w:sz w:val="22"/>
              </w:rPr>
            </w:pPr>
            <w:r>
              <w:rPr>
                <w:rFonts w:ascii="Arial" w:hAnsi="Arial" w:cs="Arial"/>
                <w:bCs/>
                <w:sz w:val="22"/>
              </w:rPr>
              <w:t>Please detail in full your approach to meeting the requirements detailed in section 2 – Scope of Contract</w:t>
            </w:r>
          </w:p>
          <w:p w14:paraId="334130CB" w14:textId="77777777" w:rsidR="00FC5503" w:rsidRPr="0099563C" w:rsidRDefault="00FC5503" w:rsidP="006B22A9">
            <w:pPr>
              <w:jc w:val="both"/>
              <w:rPr>
                <w:rFonts w:ascii="Arial" w:hAnsi="Arial" w:cs="Arial"/>
                <w:sz w:val="22"/>
              </w:rPr>
            </w:pPr>
          </w:p>
        </w:tc>
        <w:tc>
          <w:tcPr>
            <w:tcW w:w="1366" w:type="dxa"/>
          </w:tcPr>
          <w:p w14:paraId="66F9B968" w14:textId="77777777" w:rsidR="00FC5503" w:rsidRPr="0099563C" w:rsidRDefault="00FC5503" w:rsidP="006B22A9">
            <w:pPr>
              <w:jc w:val="both"/>
              <w:rPr>
                <w:rFonts w:ascii="Arial" w:hAnsi="Arial" w:cs="Arial"/>
                <w:sz w:val="22"/>
              </w:rPr>
            </w:pPr>
            <w:r>
              <w:rPr>
                <w:rFonts w:ascii="Arial" w:hAnsi="Arial" w:cs="Arial"/>
                <w:sz w:val="22"/>
              </w:rPr>
              <w:t>25</w:t>
            </w:r>
          </w:p>
        </w:tc>
      </w:tr>
      <w:tr w:rsidR="00E667B2" w:rsidRPr="0099563C" w14:paraId="2B5A922D" w14:textId="77777777" w:rsidTr="006B22A9">
        <w:tc>
          <w:tcPr>
            <w:tcW w:w="704" w:type="dxa"/>
          </w:tcPr>
          <w:p w14:paraId="20FDA6B8" w14:textId="77777777" w:rsidR="00E667B2" w:rsidRPr="0099563C" w:rsidRDefault="00E667B2" w:rsidP="00E667B2">
            <w:pPr>
              <w:jc w:val="both"/>
              <w:rPr>
                <w:rFonts w:ascii="Arial" w:hAnsi="Arial" w:cs="Arial"/>
                <w:sz w:val="22"/>
              </w:rPr>
            </w:pPr>
          </w:p>
        </w:tc>
        <w:tc>
          <w:tcPr>
            <w:tcW w:w="6946" w:type="dxa"/>
          </w:tcPr>
          <w:p w14:paraId="6AC07AF7" w14:textId="700D0F79" w:rsidR="00E667B2" w:rsidRPr="00881D01" w:rsidRDefault="00E667B2" w:rsidP="00E667B2">
            <w:pPr>
              <w:tabs>
                <w:tab w:val="left" w:pos="709"/>
              </w:tabs>
              <w:spacing w:line="276" w:lineRule="auto"/>
              <w:jc w:val="both"/>
              <w:rPr>
                <w:rFonts w:ascii="Arial" w:hAnsi="Arial" w:cs="Arial"/>
                <w:bCs/>
                <w:sz w:val="22"/>
              </w:rPr>
            </w:pPr>
            <w:r w:rsidRPr="00881D01">
              <w:rPr>
                <w:rFonts w:ascii="Arial" w:hAnsi="Arial" w:cs="Arial"/>
                <w:bCs/>
                <w:sz w:val="22"/>
              </w:rPr>
              <w:t xml:space="preserve">Provide </w:t>
            </w:r>
            <w:r>
              <w:rPr>
                <w:rFonts w:ascii="Arial" w:hAnsi="Arial" w:cs="Arial"/>
                <w:bCs/>
                <w:sz w:val="22"/>
              </w:rPr>
              <w:t xml:space="preserve">two </w:t>
            </w:r>
            <w:r w:rsidRPr="00881D01">
              <w:rPr>
                <w:rFonts w:ascii="Arial" w:hAnsi="Arial" w:cs="Arial"/>
                <w:bCs/>
                <w:sz w:val="22"/>
              </w:rPr>
              <w:t>relevant example</w:t>
            </w:r>
            <w:r>
              <w:rPr>
                <w:rFonts w:ascii="Arial" w:hAnsi="Arial" w:cs="Arial"/>
                <w:bCs/>
                <w:sz w:val="22"/>
              </w:rPr>
              <w:t>s</w:t>
            </w:r>
            <w:r w:rsidRPr="00881D01">
              <w:rPr>
                <w:rFonts w:ascii="Arial" w:hAnsi="Arial" w:cs="Arial"/>
                <w:bCs/>
                <w:sz w:val="22"/>
              </w:rPr>
              <w:t xml:space="preserve">, evidencing </w:t>
            </w:r>
            <w:r w:rsidR="00CA7FEF">
              <w:rPr>
                <w:rFonts w:ascii="Arial" w:hAnsi="Arial" w:cs="Arial"/>
                <w:bCs/>
                <w:sz w:val="22"/>
              </w:rPr>
              <w:t xml:space="preserve">two years’ </w:t>
            </w:r>
            <w:r w:rsidRPr="00881D01">
              <w:rPr>
                <w:rFonts w:ascii="Arial" w:hAnsi="Arial" w:cs="Arial"/>
                <w:bCs/>
                <w:sz w:val="22"/>
              </w:rPr>
              <w:t xml:space="preserve">experience of </w:t>
            </w:r>
            <w:r w:rsidR="00CA7FEF">
              <w:rPr>
                <w:rFonts w:ascii="Arial" w:hAnsi="Arial" w:cs="Arial"/>
                <w:bCs/>
                <w:sz w:val="22"/>
              </w:rPr>
              <w:t xml:space="preserve">working in the area of trauma.  </w:t>
            </w:r>
          </w:p>
          <w:p w14:paraId="3DF1A840" w14:textId="77777777" w:rsidR="00E667B2" w:rsidRDefault="00E667B2" w:rsidP="00E667B2">
            <w:pPr>
              <w:tabs>
                <w:tab w:val="left" w:pos="709"/>
              </w:tabs>
              <w:spacing w:line="276" w:lineRule="auto"/>
              <w:jc w:val="both"/>
              <w:rPr>
                <w:rFonts w:ascii="Arial" w:hAnsi="Arial" w:cs="Arial"/>
                <w:bCs/>
                <w:sz w:val="22"/>
              </w:rPr>
            </w:pPr>
          </w:p>
        </w:tc>
        <w:tc>
          <w:tcPr>
            <w:tcW w:w="1366" w:type="dxa"/>
          </w:tcPr>
          <w:p w14:paraId="7AD07D0F" w14:textId="05981E06" w:rsidR="00E667B2" w:rsidRDefault="004D738F" w:rsidP="00E667B2">
            <w:pPr>
              <w:jc w:val="both"/>
              <w:rPr>
                <w:rFonts w:ascii="Arial" w:hAnsi="Arial" w:cs="Arial"/>
                <w:sz w:val="22"/>
              </w:rPr>
            </w:pPr>
            <w:r>
              <w:rPr>
                <w:rFonts w:ascii="Arial" w:hAnsi="Arial" w:cs="Arial"/>
                <w:sz w:val="22"/>
              </w:rPr>
              <w:t>12.5</w:t>
            </w:r>
          </w:p>
        </w:tc>
      </w:tr>
      <w:tr w:rsidR="00E667B2" w:rsidRPr="0099563C" w14:paraId="02396CFA" w14:textId="77777777" w:rsidTr="006B22A9">
        <w:tc>
          <w:tcPr>
            <w:tcW w:w="704" w:type="dxa"/>
          </w:tcPr>
          <w:p w14:paraId="6BE4F612" w14:textId="77777777" w:rsidR="00E667B2" w:rsidRPr="004D738F" w:rsidRDefault="00E667B2" w:rsidP="00E667B2">
            <w:pPr>
              <w:jc w:val="both"/>
              <w:rPr>
                <w:rFonts w:ascii="Arial" w:hAnsi="Arial" w:cs="Arial"/>
                <w:sz w:val="22"/>
              </w:rPr>
            </w:pPr>
          </w:p>
        </w:tc>
        <w:tc>
          <w:tcPr>
            <w:tcW w:w="6946" w:type="dxa"/>
          </w:tcPr>
          <w:p w14:paraId="49C0F1DF" w14:textId="09B335D8" w:rsidR="00E667B2" w:rsidRPr="004D738F" w:rsidRDefault="00E667B2" w:rsidP="00E667B2">
            <w:pPr>
              <w:tabs>
                <w:tab w:val="left" w:pos="709"/>
              </w:tabs>
              <w:spacing w:line="276" w:lineRule="auto"/>
              <w:jc w:val="both"/>
              <w:rPr>
                <w:rFonts w:ascii="Arial" w:hAnsi="Arial" w:cs="Arial"/>
                <w:bCs/>
                <w:sz w:val="22"/>
              </w:rPr>
            </w:pPr>
            <w:r w:rsidRPr="004D738F">
              <w:rPr>
                <w:rFonts w:ascii="Arial" w:hAnsi="Arial" w:cs="Arial"/>
                <w:bCs/>
                <w:sz w:val="22"/>
              </w:rPr>
              <w:t xml:space="preserve">Provide </w:t>
            </w:r>
            <w:r w:rsidR="000C3608" w:rsidRPr="004D738F">
              <w:rPr>
                <w:rFonts w:ascii="Arial" w:hAnsi="Arial" w:cs="Arial"/>
                <w:bCs/>
                <w:sz w:val="22"/>
              </w:rPr>
              <w:t xml:space="preserve">two </w:t>
            </w:r>
            <w:r w:rsidRPr="004D738F">
              <w:rPr>
                <w:rFonts w:ascii="Arial" w:hAnsi="Arial" w:cs="Arial"/>
                <w:bCs/>
                <w:sz w:val="22"/>
              </w:rPr>
              <w:t>example</w:t>
            </w:r>
            <w:r w:rsidR="000C3608" w:rsidRPr="004D738F">
              <w:rPr>
                <w:rFonts w:ascii="Arial" w:hAnsi="Arial" w:cs="Arial"/>
                <w:bCs/>
                <w:sz w:val="22"/>
              </w:rPr>
              <w:t>s</w:t>
            </w:r>
            <w:r w:rsidRPr="004D738F">
              <w:rPr>
                <w:rFonts w:ascii="Arial" w:hAnsi="Arial" w:cs="Arial"/>
                <w:bCs/>
                <w:sz w:val="22"/>
              </w:rPr>
              <w:t xml:space="preserve"> evidencing </w:t>
            </w:r>
            <w:r w:rsidR="000C3608" w:rsidRPr="004D738F">
              <w:rPr>
                <w:rFonts w:ascii="Arial" w:hAnsi="Arial" w:cs="Arial"/>
                <w:bCs/>
                <w:sz w:val="22"/>
              </w:rPr>
              <w:t xml:space="preserve">two </w:t>
            </w:r>
            <w:r w:rsidR="004D738F" w:rsidRPr="004D738F">
              <w:rPr>
                <w:rFonts w:ascii="Arial" w:hAnsi="Arial" w:cs="Arial"/>
                <w:bCs/>
                <w:sz w:val="22"/>
              </w:rPr>
              <w:t xml:space="preserve">years’ experience of delivering education programmes to adults in either a community, further education and/or organisational setting.  </w:t>
            </w:r>
            <w:r w:rsidRPr="004D738F">
              <w:rPr>
                <w:rFonts w:ascii="Arial" w:hAnsi="Arial" w:cs="Arial"/>
                <w:bCs/>
                <w:sz w:val="22"/>
              </w:rPr>
              <w:t xml:space="preserve">  </w:t>
            </w:r>
          </w:p>
        </w:tc>
        <w:tc>
          <w:tcPr>
            <w:tcW w:w="1366" w:type="dxa"/>
          </w:tcPr>
          <w:p w14:paraId="0A0BD00E" w14:textId="2FB48462" w:rsidR="00E667B2" w:rsidRPr="004D738F" w:rsidRDefault="004D738F" w:rsidP="00E667B2">
            <w:pPr>
              <w:jc w:val="both"/>
              <w:rPr>
                <w:rFonts w:ascii="Arial" w:hAnsi="Arial" w:cs="Arial"/>
                <w:sz w:val="22"/>
              </w:rPr>
            </w:pPr>
            <w:r w:rsidRPr="004D738F">
              <w:rPr>
                <w:rFonts w:ascii="Arial" w:hAnsi="Arial" w:cs="Arial"/>
                <w:sz w:val="22"/>
              </w:rPr>
              <w:t>12.5</w:t>
            </w:r>
          </w:p>
        </w:tc>
      </w:tr>
    </w:tbl>
    <w:p w14:paraId="701655A9" w14:textId="77777777" w:rsidR="00FC5503" w:rsidRDefault="00FC5503" w:rsidP="00FC5503">
      <w:pPr>
        <w:jc w:val="both"/>
        <w:rPr>
          <w:rFonts w:ascii="Arial" w:hAnsi="Arial" w:cs="Arial"/>
          <w:sz w:val="22"/>
          <w:szCs w:val="22"/>
        </w:rPr>
      </w:pPr>
    </w:p>
    <w:tbl>
      <w:tblPr>
        <w:tblStyle w:val="TableGrid"/>
        <w:tblW w:w="0" w:type="auto"/>
        <w:tblLook w:val="04A0" w:firstRow="1" w:lastRow="0" w:firstColumn="1" w:lastColumn="0" w:noHBand="0" w:noVBand="1"/>
      </w:tblPr>
      <w:tblGrid>
        <w:gridCol w:w="704"/>
        <w:gridCol w:w="6946"/>
        <w:gridCol w:w="1366"/>
      </w:tblGrid>
      <w:tr w:rsidR="00FC5503" w14:paraId="22830927" w14:textId="77777777" w:rsidTr="006B22A9">
        <w:tc>
          <w:tcPr>
            <w:tcW w:w="704" w:type="dxa"/>
          </w:tcPr>
          <w:p w14:paraId="23E11FFF" w14:textId="77777777" w:rsidR="00FC5503" w:rsidRDefault="00FC5503" w:rsidP="006B22A9">
            <w:pPr>
              <w:spacing w:line="276" w:lineRule="auto"/>
              <w:jc w:val="center"/>
              <w:rPr>
                <w:rFonts w:ascii="Arial" w:hAnsi="Arial" w:cs="Arial"/>
                <w:bCs/>
                <w:sz w:val="22"/>
              </w:rPr>
            </w:pPr>
          </w:p>
        </w:tc>
        <w:tc>
          <w:tcPr>
            <w:tcW w:w="6946" w:type="dxa"/>
          </w:tcPr>
          <w:p w14:paraId="0E953DE6" w14:textId="77777777" w:rsidR="00FC5503" w:rsidRPr="00462AF0" w:rsidRDefault="00FC5503" w:rsidP="006B22A9">
            <w:pPr>
              <w:tabs>
                <w:tab w:val="left" w:pos="709"/>
              </w:tabs>
              <w:spacing w:line="276" w:lineRule="auto"/>
              <w:jc w:val="both"/>
              <w:rPr>
                <w:rFonts w:ascii="Arial" w:hAnsi="Arial" w:cs="Arial"/>
                <w:bCs/>
                <w:sz w:val="22"/>
              </w:rPr>
            </w:pPr>
            <w:r>
              <w:rPr>
                <w:rFonts w:ascii="Arial" w:hAnsi="Arial" w:cs="Arial"/>
                <w:bCs/>
                <w:sz w:val="22"/>
              </w:rPr>
              <w:t xml:space="preserve">Total Marks Available </w:t>
            </w:r>
          </w:p>
        </w:tc>
        <w:tc>
          <w:tcPr>
            <w:tcW w:w="1366" w:type="dxa"/>
          </w:tcPr>
          <w:p w14:paraId="0E74663E" w14:textId="77777777" w:rsidR="00FC5503" w:rsidRDefault="00FC5503" w:rsidP="006B22A9">
            <w:pPr>
              <w:spacing w:line="276" w:lineRule="auto"/>
              <w:jc w:val="both"/>
              <w:rPr>
                <w:rFonts w:ascii="Arial" w:hAnsi="Arial" w:cs="Arial"/>
                <w:bCs/>
                <w:sz w:val="22"/>
              </w:rPr>
            </w:pPr>
            <w:r>
              <w:rPr>
                <w:rFonts w:ascii="Arial" w:hAnsi="Arial" w:cs="Arial"/>
                <w:bCs/>
                <w:sz w:val="22"/>
              </w:rPr>
              <w:t>100</w:t>
            </w:r>
          </w:p>
        </w:tc>
      </w:tr>
    </w:tbl>
    <w:p w14:paraId="22157398" w14:textId="77777777" w:rsidR="005E47CA" w:rsidRDefault="005E47CA" w:rsidP="00730014">
      <w:pPr>
        <w:jc w:val="both"/>
        <w:rPr>
          <w:rFonts w:ascii="Arial" w:hAnsi="Arial" w:cs="Arial"/>
          <w:b/>
          <w:bCs/>
          <w:sz w:val="22"/>
          <w:szCs w:val="22"/>
        </w:rPr>
      </w:pPr>
    </w:p>
    <w:p w14:paraId="4C644DA1" w14:textId="77777777" w:rsidR="00730014" w:rsidRDefault="00730014" w:rsidP="00730014">
      <w:pPr>
        <w:jc w:val="both"/>
        <w:rPr>
          <w:rFonts w:ascii="Arial" w:hAnsi="Arial" w:cs="Arial"/>
          <w:b/>
          <w:bCs/>
          <w:sz w:val="22"/>
          <w:szCs w:val="22"/>
        </w:rPr>
      </w:pPr>
    </w:p>
    <w:p w14:paraId="4EDBD1B9" w14:textId="77777777" w:rsidR="004D738F" w:rsidRDefault="004D738F" w:rsidP="00730014">
      <w:pPr>
        <w:jc w:val="both"/>
        <w:rPr>
          <w:rFonts w:ascii="Arial" w:hAnsi="Arial" w:cs="Arial"/>
          <w:b/>
          <w:bCs/>
          <w:sz w:val="22"/>
          <w:szCs w:val="22"/>
        </w:rPr>
      </w:pPr>
    </w:p>
    <w:p w14:paraId="21376165" w14:textId="77777777" w:rsidR="004D738F" w:rsidRDefault="004D738F" w:rsidP="00730014">
      <w:pPr>
        <w:jc w:val="both"/>
        <w:rPr>
          <w:rFonts w:ascii="Arial" w:hAnsi="Arial" w:cs="Arial"/>
          <w:b/>
          <w:bCs/>
          <w:sz w:val="22"/>
          <w:szCs w:val="22"/>
        </w:rPr>
      </w:pPr>
    </w:p>
    <w:p w14:paraId="7089F68F" w14:textId="77777777" w:rsidR="004D738F" w:rsidRDefault="004D738F" w:rsidP="00730014">
      <w:pPr>
        <w:jc w:val="both"/>
        <w:rPr>
          <w:rFonts w:ascii="Arial" w:hAnsi="Arial" w:cs="Arial"/>
          <w:b/>
          <w:bCs/>
          <w:sz w:val="22"/>
          <w:szCs w:val="22"/>
        </w:rPr>
      </w:pPr>
    </w:p>
    <w:p w14:paraId="53F5849F" w14:textId="77777777" w:rsidR="004D738F" w:rsidRDefault="004D738F" w:rsidP="00730014">
      <w:pPr>
        <w:jc w:val="both"/>
        <w:rPr>
          <w:rFonts w:ascii="Arial" w:hAnsi="Arial" w:cs="Arial"/>
          <w:b/>
          <w:bCs/>
          <w:sz w:val="22"/>
          <w:szCs w:val="22"/>
        </w:rPr>
      </w:pPr>
    </w:p>
    <w:p w14:paraId="13ED1C27" w14:textId="77777777" w:rsidR="004D738F" w:rsidRDefault="004D738F" w:rsidP="00730014">
      <w:pPr>
        <w:jc w:val="both"/>
        <w:rPr>
          <w:rFonts w:ascii="Arial" w:hAnsi="Arial" w:cs="Arial"/>
          <w:b/>
          <w:bCs/>
          <w:sz w:val="22"/>
          <w:szCs w:val="22"/>
        </w:rPr>
      </w:pPr>
    </w:p>
    <w:p w14:paraId="4BE75DBF" w14:textId="77777777" w:rsidR="004D738F" w:rsidRDefault="004D738F" w:rsidP="00730014">
      <w:pPr>
        <w:jc w:val="both"/>
        <w:rPr>
          <w:rFonts w:ascii="Arial" w:hAnsi="Arial" w:cs="Arial"/>
          <w:b/>
          <w:bCs/>
          <w:sz w:val="22"/>
          <w:szCs w:val="22"/>
        </w:rPr>
      </w:pPr>
    </w:p>
    <w:p w14:paraId="6CACB9E5" w14:textId="77777777" w:rsidR="004D738F" w:rsidRDefault="004D738F" w:rsidP="00730014">
      <w:pPr>
        <w:jc w:val="both"/>
        <w:rPr>
          <w:rFonts w:ascii="Arial" w:hAnsi="Arial" w:cs="Arial"/>
          <w:b/>
          <w:bCs/>
          <w:sz w:val="22"/>
          <w:szCs w:val="22"/>
        </w:rPr>
      </w:pPr>
    </w:p>
    <w:p w14:paraId="3F030157" w14:textId="77777777" w:rsidR="00730014" w:rsidRDefault="00730014" w:rsidP="00730014">
      <w:pPr>
        <w:jc w:val="both"/>
        <w:rPr>
          <w:rFonts w:ascii="Arial" w:hAnsi="Arial" w:cs="Arial"/>
          <w:b/>
          <w:bCs/>
          <w:sz w:val="22"/>
          <w:szCs w:val="22"/>
        </w:rPr>
      </w:pPr>
      <w:r w:rsidRPr="00A555B6">
        <w:rPr>
          <w:rFonts w:ascii="Arial" w:hAnsi="Arial" w:cs="Arial"/>
          <w:b/>
          <w:bCs/>
          <w:sz w:val="22"/>
          <w:szCs w:val="22"/>
        </w:rPr>
        <w:t xml:space="preserve">Key to Scoring </w:t>
      </w:r>
    </w:p>
    <w:p w14:paraId="71573700" w14:textId="77777777" w:rsidR="00730014" w:rsidRPr="00A555B6" w:rsidRDefault="00730014" w:rsidP="00730014">
      <w:pPr>
        <w:jc w:val="both"/>
        <w:rPr>
          <w:rFonts w:ascii="Arial" w:hAnsi="Arial" w:cs="Arial"/>
          <w:b/>
          <w:bCs/>
          <w:sz w:val="22"/>
          <w:szCs w:val="22"/>
        </w:rPr>
      </w:pPr>
    </w:p>
    <w:p w14:paraId="39E5F762" w14:textId="77777777" w:rsidR="00730014" w:rsidRPr="00A555B6" w:rsidRDefault="00730014" w:rsidP="00730014">
      <w:pPr>
        <w:jc w:val="both"/>
        <w:rPr>
          <w:rFonts w:ascii="Arial" w:hAnsi="Arial" w:cs="Arial"/>
          <w:b/>
          <w:bCs/>
          <w:sz w:val="22"/>
          <w:szCs w:val="22"/>
        </w:rPr>
      </w:pPr>
      <w:r w:rsidRPr="00A555B6">
        <w:rPr>
          <w:rFonts w:ascii="Arial" w:hAnsi="Arial" w:cs="Arial"/>
          <w:b/>
          <w:bCs/>
          <w:sz w:val="22"/>
          <w:szCs w:val="22"/>
        </w:rPr>
        <w:t>Quantitative Assessment</w:t>
      </w:r>
    </w:p>
    <w:p w14:paraId="46503228" w14:textId="77777777" w:rsidR="00730014" w:rsidRDefault="00730014" w:rsidP="00730014">
      <w:pPr>
        <w:jc w:val="both"/>
        <w:rPr>
          <w:rFonts w:ascii="Arial" w:hAnsi="Arial" w:cs="Arial"/>
          <w:sz w:val="22"/>
          <w:szCs w:val="22"/>
        </w:rPr>
      </w:pPr>
    </w:p>
    <w:p w14:paraId="0DA11448" w14:textId="77777777" w:rsidR="00730014" w:rsidRDefault="00730014" w:rsidP="00730014">
      <w:pPr>
        <w:jc w:val="both"/>
        <w:rPr>
          <w:rFonts w:ascii="Arial" w:hAnsi="Arial" w:cs="Arial"/>
          <w:sz w:val="22"/>
          <w:szCs w:val="22"/>
        </w:rPr>
      </w:pPr>
      <w:r>
        <w:rPr>
          <w:rFonts w:ascii="Arial" w:hAnsi="Arial" w:cs="Arial"/>
          <w:sz w:val="22"/>
          <w:szCs w:val="22"/>
        </w:rPr>
        <w:t>The following formula will be used to evaluate price/cost.</w:t>
      </w:r>
    </w:p>
    <w:p w14:paraId="7793C946" w14:textId="77777777" w:rsidR="00730014" w:rsidRDefault="00730014" w:rsidP="00730014">
      <w:pPr>
        <w:jc w:val="both"/>
        <w:rPr>
          <w:rFonts w:ascii="Arial" w:hAnsi="Arial" w:cs="Arial"/>
          <w:sz w:val="22"/>
          <w:szCs w:val="22"/>
        </w:rPr>
      </w:pPr>
    </w:p>
    <w:p w14:paraId="7B9D6854" w14:textId="77777777" w:rsidR="00730014" w:rsidRDefault="00730014" w:rsidP="00730014">
      <w:pPr>
        <w:pStyle w:val="ListParagraph"/>
        <w:numPr>
          <w:ilvl w:val="0"/>
          <w:numId w:val="5"/>
        </w:numPr>
        <w:jc w:val="both"/>
        <w:rPr>
          <w:rFonts w:ascii="Arial" w:hAnsi="Arial" w:cs="Arial"/>
          <w:sz w:val="22"/>
          <w:szCs w:val="22"/>
        </w:rPr>
      </w:pPr>
      <w:r>
        <w:rPr>
          <w:rFonts w:ascii="Arial" w:hAnsi="Arial" w:cs="Arial"/>
          <w:sz w:val="22"/>
          <w:szCs w:val="22"/>
        </w:rPr>
        <w:t>Lowest price tendered will be awarded the maximum score available (50).</w:t>
      </w:r>
    </w:p>
    <w:p w14:paraId="60B85FEA" w14:textId="77777777" w:rsidR="00730014" w:rsidRDefault="00730014" w:rsidP="00730014">
      <w:pPr>
        <w:pStyle w:val="ListParagraph"/>
        <w:jc w:val="both"/>
        <w:rPr>
          <w:rFonts w:ascii="Arial" w:hAnsi="Arial" w:cs="Arial"/>
          <w:sz w:val="22"/>
          <w:szCs w:val="22"/>
        </w:rPr>
      </w:pPr>
    </w:p>
    <w:p w14:paraId="1C448886" w14:textId="77777777" w:rsidR="00730014" w:rsidRDefault="00730014" w:rsidP="00730014">
      <w:pPr>
        <w:pStyle w:val="ListParagraph"/>
        <w:numPr>
          <w:ilvl w:val="0"/>
          <w:numId w:val="5"/>
        </w:numPr>
        <w:spacing w:after="200" w:line="276" w:lineRule="auto"/>
        <w:jc w:val="both"/>
        <w:rPr>
          <w:rFonts w:ascii="Arial" w:hAnsi="Arial" w:cs="Arial"/>
          <w:sz w:val="22"/>
          <w:szCs w:val="22"/>
        </w:rPr>
      </w:pPr>
      <w:r w:rsidRPr="00B37856">
        <w:rPr>
          <w:rFonts w:ascii="Arial" w:hAnsi="Arial" w:cs="Arial"/>
          <w:sz w:val="22"/>
          <w:szCs w:val="22"/>
        </w:rPr>
        <w:t xml:space="preserve">To calculate the score for the remaining tendered price/s, the following formula will be applied.  The lowest tendered price divided by the tenderers price (to the nearest £1) multiplied by </w:t>
      </w:r>
      <w:r>
        <w:rPr>
          <w:rFonts w:ascii="Arial" w:hAnsi="Arial" w:cs="Arial"/>
          <w:sz w:val="22"/>
          <w:szCs w:val="22"/>
        </w:rPr>
        <w:t>5</w:t>
      </w:r>
      <w:r w:rsidRPr="00B37856">
        <w:rPr>
          <w:rFonts w:ascii="Arial" w:hAnsi="Arial" w:cs="Arial"/>
          <w:sz w:val="22"/>
          <w:szCs w:val="22"/>
        </w:rPr>
        <w:t>0.</w:t>
      </w:r>
    </w:p>
    <w:p w14:paraId="28135EA8" w14:textId="1990FF29" w:rsidR="00730014" w:rsidRDefault="00072922">
      <w:r>
        <w:rPr>
          <w:noProof/>
        </w:rPr>
        <w:drawing>
          <wp:inline distT="0" distB="0" distL="0" distR="0" wp14:anchorId="684F62E9" wp14:editId="219109F9">
            <wp:extent cx="3596640" cy="2141220"/>
            <wp:effectExtent l="0" t="0" r="3810" b="0"/>
            <wp:docPr id="1780384286" name="Picture 1"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84286" name="Picture 1" descr="A close-up of several logo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2141220"/>
                    </a:xfrm>
                    <a:prstGeom prst="rect">
                      <a:avLst/>
                    </a:prstGeom>
                    <a:noFill/>
                    <a:ln>
                      <a:noFill/>
                    </a:ln>
                  </pic:spPr>
                </pic:pic>
              </a:graphicData>
            </a:graphic>
          </wp:inline>
        </w:drawing>
      </w:r>
    </w:p>
    <w:sectPr w:rsidR="00730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BF7"/>
    <w:multiLevelType w:val="hybridMultilevel"/>
    <w:tmpl w:val="A406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4892"/>
    <w:multiLevelType w:val="hybridMultilevel"/>
    <w:tmpl w:val="652E0AF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061B7B32"/>
    <w:multiLevelType w:val="hybridMultilevel"/>
    <w:tmpl w:val="D7C897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C7D0D"/>
    <w:multiLevelType w:val="hybridMultilevel"/>
    <w:tmpl w:val="AC26A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0525A"/>
    <w:multiLevelType w:val="hybridMultilevel"/>
    <w:tmpl w:val="EEEA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E27B9"/>
    <w:multiLevelType w:val="multilevel"/>
    <w:tmpl w:val="DF963A76"/>
    <w:lvl w:ilvl="0">
      <w:start w:val="2"/>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1D6150"/>
    <w:multiLevelType w:val="hybridMultilevel"/>
    <w:tmpl w:val="E4949E3C"/>
    <w:lvl w:ilvl="0" w:tplc="DB2EFA9A">
      <w:numFmt w:val="bullet"/>
      <w:lvlText w:val=""/>
      <w:lvlJc w:val="left"/>
      <w:pPr>
        <w:ind w:left="852" w:hanging="360"/>
      </w:pPr>
      <w:rPr>
        <w:rFonts w:ascii="Symbol" w:eastAsia="Symbol" w:hAnsi="Symbol" w:cs="Symbol" w:hint="default"/>
        <w:b w:val="0"/>
        <w:bCs w:val="0"/>
        <w:i w:val="0"/>
        <w:iCs w:val="0"/>
        <w:w w:val="100"/>
        <w:sz w:val="22"/>
        <w:szCs w:val="22"/>
        <w:lang w:val="en-US" w:eastAsia="en-US" w:bidi="ar-SA"/>
      </w:rPr>
    </w:lvl>
    <w:lvl w:ilvl="1" w:tplc="AC28FBBC">
      <w:numFmt w:val="bullet"/>
      <w:lvlText w:val="•"/>
      <w:lvlJc w:val="left"/>
      <w:pPr>
        <w:ind w:left="1822" w:hanging="360"/>
      </w:pPr>
      <w:rPr>
        <w:rFonts w:hint="default"/>
        <w:lang w:val="en-US" w:eastAsia="en-US" w:bidi="ar-SA"/>
      </w:rPr>
    </w:lvl>
    <w:lvl w:ilvl="2" w:tplc="EE885C20">
      <w:numFmt w:val="bullet"/>
      <w:lvlText w:val="•"/>
      <w:lvlJc w:val="left"/>
      <w:pPr>
        <w:ind w:left="2785" w:hanging="360"/>
      </w:pPr>
      <w:rPr>
        <w:rFonts w:hint="default"/>
        <w:lang w:val="en-US" w:eastAsia="en-US" w:bidi="ar-SA"/>
      </w:rPr>
    </w:lvl>
    <w:lvl w:ilvl="3" w:tplc="8ADA6480">
      <w:numFmt w:val="bullet"/>
      <w:lvlText w:val="•"/>
      <w:lvlJc w:val="left"/>
      <w:pPr>
        <w:ind w:left="3747" w:hanging="360"/>
      </w:pPr>
      <w:rPr>
        <w:rFonts w:hint="default"/>
        <w:lang w:val="en-US" w:eastAsia="en-US" w:bidi="ar-SA"/>
      </w:rPr>
    </w:lvl>
    <w:lvl w:ilvl="4" w:tplc="D87C9E32">
      <w:numFmt w:val="bullet"/>
      <w:lvlText w:val="•"/>
      <w:lvlJc w:val="left"/>
      <w:pPr>
        <w:ind w:left="4710" w:hanging="360"/>
      </w:pPr>
      <w:rPr>
        <w:rFonts w:hint="default"/>
        <w:lang w:val="en-US" w:eastAsia="en-US" w:bidi="ar-SA"/>
      </w:rPr>
    </w:lvl>
    <w:lvl w:ilvl="5" w:tplc="691CD748">
      <w:numFmt w:val="bullet"/>
      <w:lvlText w:val="•"/>
      <w:lvlJc w:val="left"/>
      <w:pPr>
        <w:ind w:left="5673" w:hanging="360"/>
      </w:pPr>
      <w:rPr>
        <w:rFonts w:hint="default"/>
        <w:lang w:val="en-US" w:eastAsia="en-US" w:bidi="ar-SA"/>
      </w:rPr>
    </w:lvl>
    <w:lvl w:ilvl="6" w:tplc="77904362">
      <w:numFmt w:val="bullet"/>
      <w:lvlText w:val="•"/>
      <w:lvlJc w:val="left"/>
      <w:pPr>
        <w:ind w:left="6635" w:hanging="360"/>
      </w:pPr>
      <w:rPr>
        <w:rFonts w:hint="default"/>
        <w:lang w:val="en-US" w:eastAsia="en-US" w:bidi="ar-SA"/>
      </w:rPr>
    </w:lvl>
    <w:lvl w:ilvl="7" w:tplc="565C7284">
      <w:numFmt w:val="bullet"/>
      <w:lvlText w:val="•"/>
      <w:lvlJc w:val="left"/>
      <w:pPr>
        <w:ind w:left="7598" w:hanging="360"/>
      </w:pPr>
      <w:rPr>
        <w:rFonts w:hint="default"/>
        <w:lang w:val="en-US" w:eastAsia="en-US" w:bidi="ar-SA"/>
      </w:rPr>
    </w:lvl>
    <w:lvl w:ilvl="8" w:tplc="BE84634E">
      <w:numFmt w:val="bullet"/>
      <w:lvlText w:val="•"/>
      <w:lvlJc w:val="left"/>
      <w:pPr>
        <w:ind w:left="8561" w:hanging="360"/>
      </w:pPr>
      <w:rPr>
        <w:rFonts w:hint="default"/>
        <w:lang w:val="en-US" w:eastAsia="en-US" w:bidi="ar-SA"/>
      </w:rPr>
    </w:lvl>
  </w:abstractNum>
  <w:abstractNum w:abstractNumId="7" w15:restartNumberingAfterBreak="0">
    <w:nsid w:val="569A09BC"/>
    <w:multiLevelType w:val="multilevel"/>
    <w:tmpl w:val="22CC34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9C0E20"/>
    <w:multiLevelType w:val="hybridMultilevel"/>
    <w:tmpl w:val="2D0A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039867">
    <w:abstractNumId w:val="7"/>
  </w:num>
  <w:num w:numId="2" w16cid:durableId="1137528153">
    <w:abstractNumId w:val="1"/>
  </w:num>
  <w:num w:numId="3" w16cid:durableId="1605531407">
    <w:abstractNumId w:val="5"/>
  </w:num>
  <w:num w:numId="4" w16cid:durableId="761994837">
    <w:abstractNumId w:val="6"/>
  </w:num>
  <w:num w:numId="5" w16cid:durableId="1182940358">
    <w:abstractNumId w:val="3"/>
  </w:num>
  <w:num w:numId="6" w16cid:durableId="1172375025">
    <w:abstractNumId w:val="4"/>
  </w:num>
  <w:num w:numId="7" w16cid:durableId="1603948251">
    <w:abstractNumId w:val="2"/>
  </w:num>
  <w:num w:numId="8" w16cid:durableId="1152716382">
    <w:abstractNumId w:val="8"/>
  </w:num>
  <w:num w:numId="9" w16cid:durableId="12539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14"/>
    <w:rsid w:val="00031704"/>
    <w:rsid w:val="00046351"/>
    <w:rsid w:val="00072922"/>
    <w:rsid w:val="000B5792"/>
    <w:rsid w:val="000C3608"/>
    <w:rsid w:val="000F70CE"/>
    <w:rsid w:val="00113474"/>
    <w:rsid w:val="00141809"/>
    <w:rsid w:val="001B6904"/>
    <w:rsid w:val="001F2078"/>
    <w:rsid w:val="00263AFA"/>
    <w:rsid w:val="0029697C"/>
    <w:rsid w:val="002C44BE"/>
    <w:rsid w:val="002C547B"/>
    <w:rsid w:val="00364CE2"/>
    <w:rsid w:val="00394B54"/>
    <w:rsid w:val="00455C07"/>
    <w:rsid w:val="004D738F"/>
    <w:rsid w:val="00522FFE"/>
    <w:rsid w:val="00534947"/>
    <w:rsid w:val="00555408"/>
    <w:rsid w:val="00555983"/>
    <w:rsid w:val="00564C06"/>
    <w:rsid w:val="0058154E"/>
    <w:rsid w:val="005E47CA"/>
    <w:rsid w:val="005F66D9"/>
    <w:rsid w:val="006404B6"/>
    <w:rsid w:val="00730014"/>
    <w:rsid w:val="0074113B"/>
    <w:rsid w:val="0078004A"/>
    <w:rsid w:val="00785376"/>
    <w:rsid w:val="008303AD"/>
    <w:rsid w:val="00881D01"/>
    <w:rsid w:val="008C5019"/>
    <w:rsid w:val="008E7966"/>
    <w:rsid w:val="009635AB"/>
    <w:rsid w:val="009D1FE5"/>
    <w:rsid w:val="00A10131"/>
    <w:rsid w:val="00A40F04"/>
    <w:rsid w:val="00A67263"/>
    <w:rsid w:val="00A96882"/>
    <w:rsid w:val="00AA6406"/>
    <w:rsid w:val="00B41CA2"/>
    <w:rsid w:val="00B42702"/>
    <w:rsid w:val="00B60070"/>
    <w:rsid w:val="00BC1DF1"/>
    <w:rsid w:val="00BE70E3"/>
    <w:rsid w:val="00CA7E9D"/>
    <w:rsid w:val="00CA7FEF"/>
    <w:rsid w:val="00CC1B77"/>
    <w:rsid w:val="00CD0BD3"/>
    <w:rsid w:val="00CF385E"/>
    <w:rsid w:val="00D33C25"/>
    <w:rsid w:val="00D5738A"/>
    <w:rsid w:val="00DA23A5"/>
    <w:rsid w:val="00E06275"/>
    <w:rsid w:val="00E35A84"/>
    <w:rsid w:val="00E667B2"/>
    <w:rsid w:val="00E875A2"/>
    <w:rsid w:val="00F07070"/>
    <w:rsid w:val="00F7514A"/>
    <w:rsid w:val="00F9097E"/>
    <w:rsid w:val="00F9200A"/>
    <w:rsid w:val="00FC5076"/>
    <w:rsid w:val="00FC5503"/>
    <w:rsid w:val="00FC6ACF"/>
    <w:rsid w:val="00FE073E"/>
    <w:rsid w:val="00FE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9408"/>
  <w15:chartTrackingRefBased/>
  <w15:docId w15:val="{E6C05569-CE93-4F14-8D57-467B57F0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1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300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01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730014"/>
    <w:pPr>
      <w:ind w:left="720"/>
      <w:contextualSpacing/>
    </w:pPr>
  </w:style>
  <w:style w:type="table" w:styleId="TableGrid">
    <w:name w:val="Table Grid"/>
    <w:basedOn w:val="TableNormal"/>
    <w:uiPriority w:val="39"/>
    <w:rsid w:val="00730014"/>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30014"/>
    <w:pPr>
      <w:tabs>
        <w:tab w:val="left" w:pos="-720"/>
        <w:tab w:val="left" w:pos="567"/>
        <w:tab w:val="left" w:pos="1134"/>
        <w:tab w:val="left" w:pos="1701"/>
        <w:tab w:val="left" w:pos="2268"/>
        <w:tab w:val="left" w:pos="2835"/>
        <w:tab w:val="left" w:pos="3402"/>
        <w:tab w:val="left" w:pos="3969"/>
      </w:tabs>
      <w:suppressAutoHyphens/>
      <w:jc w:val="both"/>
    </w:pPr>
    <w:rPr>
      <w:color w:val="000000"/>
      <w:spacing w:val="-3"/>
      <w:szCs w:val="20"/>
    </w:rPr>
  </w:style>
  <w:style w:type="character" w:customStyle="1" w:styleId="BodyTextChar">
    <w:name w:val="Body Text Char"/>
    <w:basedOn w:val="DefaultParagraphFont"/>
    <w:link w:val="BodyText"/>
    <w:semiHidden/>
    <w:rsid w:val="00730014"/>
    <w:rPr>
      <w:rFonts w:ascii="Times New Roman" w:eastAsia="Times New Roman" w:hAnsi="Times New Roman" w:cs="Times New Roman"/>
      <w:color w:val="000000"/>
      <w:spacing w:val="-3"/>
      <w:kern w:val="0"/>
      <w:sz w:val="24"/>
      <w:szCs w:val="20"/>
      <w14:ligatures w14:val="none"/>
    </w:rPr>
  </w:style>
  <w:style w:type="character" w:customStyle="1" w:styleId="InitialStyle">
    <w:name w:val="InitialStyle"/>
    <w:rsid w:val="00730014"/>
    <w:rPr>
      <w:rFonts w:ascii="Courier New" w:hAnsi="Courier New"/>
      <w:color w:val="auto"/>
      <w:spacing w:val="0"/>
      <w:sz w:val="24"/>
    </w:rPr>
  </w:style>
  <w:style w:type="paragraph" w:customStyle="1" w:styleId="DefaultText">
    <w:name w:val="Default Text"/>
    <w:basedOn w:val="Normal"/>
    <w:rsid w:val="00730014"/>
    <w:rPr>
      <w:szCs w:val="20"/>
      <w:lang w:val="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730014"/>
    <w:rPr>
      <w:rFonts w:ascii="Times New Roman" w:eastAsia="Times New Roman" w:hAnsi="Times New Roman" w:cs="Times New Roman"/>
      <w:kern w:val="0"/>
      <w:sz w:val="24"/>
      <w:szCs w:val="24"/>
      <w14:ligatures w14:val="none"/>
    </w:rPr>
  </w:style>
  <w:style w:type="paragraph" w:styleId="NormalWeb">
    <w:name w:val="Normal (Web)"/>
    <w:basedOn w:val="Normal"/>
    <w:rsid w:val="00730014"/>
    <w:pPr>
      <w:spacing w:before="100" w:beforeAutospacing="1" w:after="100" w:afterAutospacing="1" w:line="264" w:lineRule="auto"/>
    </w:pPr>
    <w:rPr>
      <w:rFonts w:ascii="Calibri" w:hAnsi="Calibri"/>
      <w:sz w:val="20"/>
      <w:szCs w:val="20"/>
      <w:lang w:eastAsia="en-GB"/>
    </w:rPr>
  </w:style>
  <w:style w:type="paragraph" w:styleId="BodyTextIndent">
    <w:name w:val="Body Text Indent"/>
    <w:basedOn w:val="Normal"/>
    <w:link w:val="BodyTextIndentChar"/>
    <w:rsid w:val="00E875A2"/>
    <w:pPr>
      <w:spacing w:after="120"/>
      <w:ind w:left="283"/>
    </w:pPr>
  </w:style>
  <w:style w:type="character" w:customStyle="1" w:styleId="BodyTextIndentChar">
    <w:name w:val="Body Text Indent Char"/>
    <w:basedOn w:val="DefaultParagraphFont"/>
    <w:link w:val="BodyTextIndent"/>
    <w:rsid w:val="00E875A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AC637-F2EB-4942-B362-65BC284D8A7D}">
  <ds:schemaRefs>
    <ds:schemaRef ds:uri="http://schemas.microsoft.com/sharepoint/v3/contenttype/forms"/>
  </ds:schemaRefs>
</ds:datastoreItem>
</file>

<file path=customXml/itemProps2.xml><?xml version="1.0" encoding="utf-8"?>
<ds:datastoreItem xmlns:ds="http://schemas.openxmlformats.org/officeDocument/2006/customXml" ds:itemID="{8885BCD2-4EB5-48C1-899B-124783CBD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B1FA6-3675-4ED7-B583-BEDA07A96C2B}">
  <ds:schemaRefs>
    <ds:schemaRef ds:uri="http://schemas.microsoft.com/office/2006/metadata/properties"/>
    <ds:schemaRef ds:uri="http://schemas.microsoft.com/office/infopath/2007/PartnerControls"/>
    <ds:schemaRef ds:uri="55607ce3-3aef-4f6d-9500-640ef0624e81"/>
    <ds:schemaRef ds:uri="f4a6abac-e4d8-4157-a032-bffcdee7e6cc"/>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12</cp:revision>
  <dcterms:created xsi:type="dcterms:W3CDTF">2025-07-08T13:31:00Z</dcterms:created>
  <dcterms:modified xsi:type="dcterms:W3CDTF">2025-07-08T15:36:00Z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MediaServiceImageTags">
    <vt:lpwstr/>
  </property>
</Properties>
</file>